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E069" w14:textId="04A4A451" w:rsidR="00F2271E" w:rsidRDefault="00635AB6" w:rsidP="00BD1C61">
      <w:pPr>
        <w:tabs>
          <w:tab w:val="num" w:pos="720"/>
        </w:tabs>
        <w:jc w:val="center"/>
        <w:rPr>
          <w:lang w:val="en-US"/>
        </w:rPr>
      </w:pPr>
      <w:bookmarkStart w:id="0" w:name="_GoBack"/>
      <w:r w:rsidRPr="00635AB6">
        <w:rPr>
          <w:b/>
          <w:bCs/>
          <w:lang w:val="en-US"/>
        </w:rPr>
        <w:t xml:space="preserve">ENSURING THE </w:t>
      </w:r>
      <w:r w:rsidR="00F2271E" w:rsidRPr="00635AB6">
        <w:rPr>
          <w:b/>
          <w:bCs/>
          <w:lang w:val="en-US"/>
        </w:rPr>
        <w:t>BEST INTERESTS OF THE CHILD</w:t>
      </w:r>
      <w:bookmarkEnd w:id="0"/>
      <w:r w:rsidR="00F2271E" w:rsidRPr="00635AB6">
        <w:rPr>
          <w:b/>
          <w:bCs/>
          <w:lang w:val="en-US"/>
        </w:rPr>
        <w:t xml:space="preserve">: </w:t>
      </w:r>
      <w:r w:rsidR="00C16A01">
        <w:rPr>
          <w:b/>
          <w:bCs/>
          <w:lang w:val="en-US"/>
        </w:rPr>
        <w:t>A SPECIAL</w:t>
      </w:r>
      <w:r w:rsidR="00F2271E" w:rsidRPr="00635AB6">
        <w:rPr>
          <w:b/>
          <w:bCs/>
          <w:lang w:val="en-US"/>
        </w:rPr>
        <w:t xml:space="preserve"> CROSS-BORDER CHALLENGE</w:t>
      </w:r>
    </w:p>
    <w:p w14:paraId="66CBE977" w14:textId="0228878A" w:rsidR="00BD1C61" w:rsidRPr="003D5993" w:rsidRDefault="00BD1C61" w:rsidP="00BD1C61">
      <w:pPr>
        <w:tabs>
          <w:tab w:val="num" w:pos="720"/>
        </w:tabs>
        <w:jc w:val="center"/>
        <w:rPr>
          <w:b/>
          <w:bCs/>
        </w:rPr>
      </w:pPr>
      <w:r w:rsidRPr="003D5993">
        <w:rPr>
          <w:b/>
          <w:bCs/>
          <w:lang w:val="en-US"/>
        </w:rPr>
        <w:t>Nigel Cantwell</w:t>
      </w:r>
    </w:p>
    <w:p w14:paraId="6E32979D" w14:textId="77777777" w:rsidR="00DF3BDE" w:rsidRDefault="00DF3BDE" w:rsidP="00F2271E"/>
    <w:p w14:paraId="49CCDE18" w14:textId="77777777" w:rsidR="00F10FE3" w:rsidRPr="00F10FE3" w:rsidRDefault="00F10FE3" w:rsidP="00F10FE3">
      <w:pPr>
        <w:rPr>
          <w:b/>
          <w:lang w:val="en-US"/>
        </w:rPr>
      </w:pPr>
      <w:r w:rsidRPr="00F10FE3">
        <w:rPr>
          <w:b/>
          <w:sz w:val="27"/>
          <w:szCs w:val="27"/>
        </w:rPr>
        <w:t>Assessing and determining the best interests of the child, with due regard for the child’s opinions and for international human rights standards, is in itself a delicate task requiring special skills. Where children cross borders – for whatever reason – that task is typically all the more problematic since, among other things, it has to take account of differing socio-cultural approaches. There are unfortunately few reliable data on the consequences of decision-making in this context, and this paper argues for the need for an evidence-based yet pragmatic foundation for such decisions if the human rights of children are to be upheld. </w:t>
      </w:r>
    </w:p>
    <w:p w14:paraId="7E0F4A09" w14:textId="77777777" w:rsidR="00F10FE3" w:rsidRPr="00F10FE3" w:rsidRDefault="00F10FE3" w:rsidP="00F2271E">
      <w:pPr>
        <w:rPr>
          <w:lang w:val="en-US"/>
        </w:rPr>
      </w:pPr>
    </w:p>
    <w:p w14:paraId="62A5FFD8" w14:textId="07706640" w:rsidR="00CF75C6" w:rsidRDefault="007F1848" w:rsidP="00F2271E">
      <w:r>
        <w:t>Efforts</w:t>
      </w:r>
      <w:r w:rsidR="00497DAB">
        <w:t xml:space="preserve"> to safeguard the </w:t>
      </w:r>
      <w:r w:rsidR="00E22A36">
        <w:t>best interests</w:t>
      </w:r>
      <w:r w:rsidR="00497DAB">
        <w:t xml:space="preserve"> of children </w:t>
      </w:r>
      <w:r w:rsidR="00500637">
        <w:t>who have moved</w:t>
      </w:r>
      <w:r w:rsidR="00497DAB">
        <w:t xml:space="preserve"> across borders</w:t>
      </w:r>
      <w:r w:rsidR="005B080A">
        <w:t xml:space="preserve"> face numerous difficulties</w:t>
      </w:r>
      <w:r w:rsidR="00497DAB">
        <w:t>.</w:t>
      </w:r>
    </w:p>
    <w:p w14:paraId="79F4D876" w14:textId="506F5510" w:rsidR="00BE62E3" w:rsidRDefault="00BE62E3" w:rsidP="00F2271E">
      <w:r>
        <w:t xml:space="preserve">These </w:t>
      </w:r>
      <w:r w:rsidR="005B080A">
        <w:t>difficulties</w:t>
      </w:r>
      <w:r>
        <w:t xml:space="preserve"> </w:t>
      </w:r>
      <w:r w:rsidR="002E0D0B">
        <w:t>comprise</w:t>
      </w:r>
      <w:r>
        <w:t xml:space="preserve"> </w:t>
      </w:r>
      <w:r w:rsidR="00877DD4">
        <w:t xml:space="preserve">issues </w:t>
      </w:r>
      <w:r w:rsidR="00A05857">
        <w:t xml:space="preserve">that are generic to </w:t>
      </w:r>
      <w:r w:rsidR="0069157D">
        <w:t xml:space="preserve">best </w:t>
      </w:r>
      <w:proofErr w:type="gramStart"/>
      <w:r w:rsidR="0069157D">
        <w:t>interests</w:t>
      </w:r>
      <w:proofErr w:type="gramEnd"/>
      <w:r w:rsidR="00A05857">
        <w:t xml:space="preserve"> assessment</w:t>
      </w:r>
      <w:r w:rsidR="00A11617">
        <w:t xml:space="preserve"> (BIA)</w:t>
      </w:r>
      <w:r w:rsidR="00A05857">
        <w:t xml:space="preserve"> and determination</w:t>
      </w:r>
      <w:r w:rsidR="00A11617">
        <w:t xml:space="preserve"> (BID)</w:t>
      </w:r>
      <w:r w:rsidR="00A05857">
        <w:t xml:space="preserve"> </w:t>
      </w:r>
      <w:r w:rsidR="00314DEF">
        <w:t xml:space="preserve">exercises </w:t>
      </w:r>
      <w:r w:rsidR="00A05857">
        <w:t xml:space="preserve">and others that are more especially posed </w:t>
      </w:r>
      <w:r w:rsidR="00764F62">
        <w:t>in cross-border situations.</w:t>
      </w:r>
    </w:p>
    <w:p w14:paraId="2D1C94F5" w14:textId="30D52DAE" w:rsidR="006F7A59" w:rsidRDefault="006F7A59" w:rsidP="00F2271E">
      <w:r>
        <w:t>We</w:t>
      </w:r>
      <w:r w:rsidR="00057F87">
        <w:t xml:space="preserve"> </w:t>
      </w:r>
      <w:r w:rsidR="00560066">
        <w:t>set great</w:t>
      </w:r>
      <w:r w:rsidR="00057F87">
        <w:t xml:space="preserve"> store</w:t>
      </w:r>
      <w:r>
        <w:t xml:space="preserve"> </w:t>
      </w:r>
      <w:r w:rsidR="00057F87">
        <w:t xml:space="preserve">by </w:t>
      </w:r>
      <w:r w:rsidR="0013777E">
        <w:t xml:space="preserve">adhering to the principle of best interests </w:t>
      </w:r>
      <w:r w:rsidR="00F55ABA">
        <w:t xml:space="preserve">in decision-making concerning children. </w:t>
      </w:r>
      <w:r w:rsidR="00716B42">
        <w:t xml:space="preserve">There </w:t>
      </w:r>
      <w:r w:rsidR="00E42FA7">
        <w:t>have been more and more</w:t>
      </w:r>
      <w:r w:rsidR="003212BC">
        <w:t xml:space="preserve"> initiatives </w:t>
      </w:r>
      <w:r w:rsidR="00F21080">
        <w:t xml:space="preserve">to develop </w:t>
      </w:r>
      <w:r w:rsidR="006225DA">
        <w:t xml:space="preserve">procedures and </w:t>
      </w:r>
      <w:r w:rsidR="002572D7">
        <w:t>criteria for carrying out</w:t>
      </w:r>
      <w:r w:rsidR="00AE11ED">
        <w:t xml:space="preserve"> fully-fledged</w:t>
      </w:r>
      <w:r w:rsidR="002572D7">
        <w:t xml:space="preserve"> BIA and BID </w:t>
      </w:r>
      <w:r w:rsidR="004710D1">
        <w:t>exercises</w:t>
      </w:r>
      <w:r w:rsidR="00816B4A">
        <w:t xml:space="preserve">. </w:t>
      </w:r>
      <w:r w:rsidR="00097D05">
        <w:t xml:space="preserve">That said, </w:t>
      </w:r>
      <w:r w:rsidR="00C57007">
        <w:t>they are neither</w:t>
      </w:r>
      <w:r w:rsidR="00155EFA">
        <w:t xml:space="preserve"> </w:t>
      </w:r>
      <w:r w:rsidR="00383293">
        <w:t>universally accepted</w:t>
      </w:r>
      <w:r w:rsidR="00C57007">
        <w:t xml:space="preserve"> nor</w:t>
      </w:r>
      <w:r w:rsidR="00CC7D92">
        <w:t xml:space="preserve"> </w:t>
      </w:r>
      <w:r w:rsidR="007707FB">
        <w:t>compulsory</w:t>
      </w:r>
      <w:r w:rsidR="005E0F86">
        <w:t>,</w:t>
      </w:r>
      <w:r w:rsidR="007707FB">
        <w:t xml:space="preserve"> </w:t>
      </w:r>
      <w:r w:rsidR="005E0F86">
        <w:t>and</w:t>
      </w:r>
      <w:r w:rsidR="004415FD">
        <w:t xml:space="preserve"> the conditions</w:t>
      </w:r>
      <w:r w:rsidR="005E0F86">
        <w:t xml:space="preserve"> needed</w:t>
      </w:r>
      <w:r w:rsidR="004415FD">
        <w:t xml:space="preserve"> for putting the</w:t>
      </w:r>
      <w:r w:rsidR="007707FB">
        <w:t>m</w:t>
      </w:r>
      <w:r w:rsidR="004415FD">
        <w:t xml:space="preserve"> </w:t>
      </w:r>
      <w:r w:rsidR="00B1534C">
        <w:t xml:space="preserve">in place and ensuring appropriate follow-up often </w:t>
      </w:r>
      <w:r w:rsidR="000E6D69">
        <w:t xml:space="preserve">prove to be </w:t>
      </w:r>
      <w:r w:rsidR="003D7DBD">
        <w:t xml:space="preserve">unrealistic in </w:t>
      </w:r>
      <w:r w:rsidR="004A7E63">
        <w:t>practice</w:t>
      </w:r>
      <w:r w:rsidR="003D7DBD">
        <w:t>.</w:t>
      </w:r>
      <w:r w:rsidR="00DB0858">
        <w:t xml:space="preserve"> Furthermore, </w:t>
      </w:r>
      <w:r w:rsidR="009D4681">
        <w:t xml:space="preserve">we are all too rarely aware of </w:t>
      </w:r>
      <w:r w:rsidR="008F65CC">
        <w:t xml:space="preserve">how well or badly </w:t>
      </w:r>
      <w:r w:rsidR="00E63907">
        <w:t>the outcomes of these exercises</w:t>
      </w:r>
      <w:r w:rsidR="005D7BC9">
        <w:t xml:space="preserve"> help to</w:t>
      </w:r>
      <w:r w:rsidR="00E63907">
        <w:t xml:space="preserve"> </w:t>
      </w:r>
      <w:r w:rsidR="007768FC">
        <w:t xml:space="preserve">improve or resolve the </w:t>
      </w:r>
      <w:r w:rsidR="005D7BC9">
        <w:t>situations in which children find themselves.</w:t>
      </w:r>
      <w:r w:rsidR="009644D8">
        <w:t xml:space="preserve"> </w:t>
      </w:r>
    </w:p>
    <w:p w14:paraId="0737F8A7" w14:textId="3E64B1B9" w:rsidR="00BE00F4" w:rsidRDefault="00BE00F4" w:rsidP="00F2271E">
      <w:r>
        <w:t xml:space="preserve">This paper sets </w:t>
      </w:r>
      <w:r w:rsidR="00A250E3">
        <w:t>out to take</w:t>
      </w:r>
      <w:r w:rsidR="00A250E3" w:rsidRPr="00A250E3">
        <w:t xml:space="preserve"> </w:t>
      </w:r>
      <w:r w:rsidR="00A250E3">
        <w:t>a dispassionate look at policy and practice from the standpoint of defending the best interests and human rights of the children concerned.</w:t>
      </w:r>
    </w:p>
    <w:p w14:paraId="51F636DB" w14:textId="0DCE17BD" w:rsidR="0099378A" w:rsidRDefault="00CE381E" w:rsidP="00F2271E">
      <w:r>
        <w:t>The</w:t>
      </w:r>
      <w:r w:rsidR="00623387">
        <w:t xml:space="preserve"> </w:t>
      </w:r>
      <w:r w:rsidR="003D5103">
        <w:t>starting</w:t>
      </w:r>
      <w:r>
        <w:t xml:space="preserve"> point for</w:t>
      </w:r>
      <w:r w:rsidR="003D5103">
        <w:t xml:space="preserve"> this analysis </w:t>
      </w:r>
      <w:r w:rsidR="00DA74E1">
        <w:t>has to be a</w:t>
      </w:r>
      <w:r w:rsidR="00BE5127">
        <w:t xml:space="preserve"> </w:t>
      </w:r>
      <w:r w:rsidR="00B27176">
        <w:t>review</w:t>
      </w:r>
      <w:r w:rsidR="00681159">
        <w:t xml:space="preserve"> of</w:t>
      </w:r>
      <w:r w:rsidR="00BC6E7E">
        <w:t xml:space="preserve"> how the notion of the best interests of the child</w:t>
      </w:r>
      <w:r w:rsidR="003403F4">
        <w:t xml:space="preserve"> (BIC)</w:t>
      </w:r>
      <w:r w:rsidR="00BE5127">
        <w:t xml:space="preserve"> </w:t>
      </w:r>
      <w:r w:rsidR="00B34405">
        <w:t xml:space="preserve">became such a pivotal factor </w:t>
      </w:r>
      <w:r w:rsidR="00944916">
        <w:t>in, notably, the Convention on the Rights of the Child (CRC)</w:t>
      </w:r>
      <w:r w:rsidR="0013516F">
        <w:t>.</w:t>
      </w:r>
      <w:r w:rsidR="000717F3">
        <w:t xml:space="preserve"> </w:t>
      </w:r>
      <w:r w:rsidR="0071432E">
        <w:t>This provides necessary background against which</w:t>
      </w:r>
      <w:r w:rsidR="00E06E13">
        <w:t xml:space="preserve"> to </w:t>
      </w:r>
      <w:r w:rsidR="009A44F7">
        <w:t xml:space="preserve">understand </w:t>
      </w:r>
      <w:r w:rsidR="002A53CB">
        <w:t>how</w:t>
      </w:r>
      <w:r w:rsidR="0071432E">
        <w:t xml:space="preserve"> those</w:t>
      </w:r>
      <w:r w:rsidR="009A44F7">
        <w:t xml:space="preserve"> </w:t>
      </w:r>
      <w:r w:rsidR="0071432E">
        <w:t>“</w:t>
      </w:r>
      <w:r w:rsidR="009A44F7">
        <w:t>best interests</w:t>
      </w:r>
      <w:r w:rsidR="0071432E">
        <w:t>”</w:t>
      </w:r>
      <w:r w:rsidR="009A44F7">
        <w:t xml:space="preserve"> </w:t>
      </w:r>
      <w:r w:rsidR="002A53CB">
        <w:t xml:space="preserve">might be operationalised </w:t>
      </w:r>
      <w:r w:rsidR="008C02B9">
        <w:t>as a means of</w:t>
      </w:r>
      <w:r w:rsidR="009A44F7">
        <w:t xml:space="preserve"> promoti</w:t>
      </w:r>
      <w:r w:rsidR="008C02B9">
        <w:t>ng</w:t>
      </w:r>
      <w:r w:rsidR="009A44F7">
        <w:t xml:space="preserve"> and protecti</w:t>
      </w:r>
      <w:r w:rsidR="008C02B9">
        <w:t>ng</w:t>
      </w:r>
      <w:r w:rsidR="0071432E">
        <w:t xml:space="preserve"> children’s</w:t>
      </w:r>
      <w:r w:rsidR="009A44F7">
        <w:t xml:space="preserve"> human </w:t>
      </w:r>
      <w:r w:rsidR="008C02B9">
        <w:t>rights</w:t>
      </w:r>
      <w:r w:rsidR="00C05FAD">
        <w:t xml:space="preserve"> – in general and </w:t>
      </w:r>
      <w:r w:rsidR="008F39AA">
        <w:t>with special reference to cross-border movement</w:t>
      </w:r>
      <w:r w:rsidR="000F0658">
        <w:t>.</w:t>
      </w:r>
    </w:p>
    <w:p w14:paraId="559F6B79" w14:textId="1FACDF0B" w:rsidR="00F2271E" w:rsidRPr="008F39AA" w:rsidRDefault="00C05FAD" w:rsidP="00F2271E">
      <w:pPr>
        <w:tabs>
          <w:tab w:val="num" w:pos="720"/>
        </w:tabs>
        <w:rPr>
          <w:b/>
          <w:bCs/>
        </w:rPr>
      </w:pPr>
      <w:r w:rsidRPr="008F39AA">
        <w:rPr>
          <w:b/>
          <w:bCs/>
        </w:rPr>
        <w:t>Best interests in a human rights context</w:t>
      </w:r>
    </w:p>
    <w:p w14:paraId="0F784EEF" w14:textId="0D390BE8" w:rsidR="00F5539A" w:rsidRDefault="00A135F8" w:rsidP="004A69F9">
      <w:r>
        <w:t>The</w:t>
      </w:r>
      <w:r w:rsidR="005E6F82">
        <w:t xml:space="preserve"> concept of the</w:t>
      </w:r>
      <w:r>
        <w:t xml:space="preserve"> best interests of the child</w:t>
      </w:r>
      <w:r w:rsidR="000B1632" w:rsidRPr="000B1632">
        <w:t xml:space="preserve"> </w:t>
      </w:r>
      <w:r w:rsidR="005505D1">
        <w:t>is of course</w:t>
      </w:r>
      <w:r w:rsidR="000B1632" w:rsidRPr="000B1632">
        <w:t xml:space="preserve"> long-</w:t>
      </w:r>
      <w:r w:rsidR="003E4D9A">
        <w:t>established</w:t>
      </w:r>
      <w:r w:rsidR="000B1632" w:rsidRPr="000B1632">
        <w:t xml:space="preserve"> </w:t>
      </w:r>
      <w:r w:rsidR="00FF3016">
        <w:t>at</w:t>
      </w:r>
      <w:r w:rsidR="00881512">
        <w:t xml:space="preserve"> both national and international levels</w:t>
      </w:r>
      <w:r w:rsidR="0092364A">
        <w:t xml:space="preserve">, well before </w:t>
      </w:r>
      <w:r w:rsidR="00562BA9">
        <w:t xml:space="preserve">it </w:t>
      </w:r>
      <w:r w:rsidR="008F384A">
        <w:t>became</w:t>
      </w:r>
      <w:r w:rsidR="00562BA9">
        <w:t xml:space="preserve"> consecrated in </w:t>
      </w:r>
      <w:r w:rsidR="008F384A">
        <w:t>the CRC</w:t>
      </w:r>
      <w:r w:rsidR="005012B2">
        <w:t>.</w:t>
      </w:r>
      <w:r w:rsidR="00D71762">
        <w:t xml:space="preserve"> I</w:t>
      </w:r>
      <w:r w:rsidR="009B1978">
        <w:t>t</w:t>
      </w:r>
      <w:r w:rsidR="00D71762">
        <w:t xml:space="preserve"> w</w:t>
      </w:r>
      <w:r w:rsidR="00DD419F">
        <w:t>as seen as something apart from the human rights discourse</w:t>
      </w:r>
      <w:r w:rsidR="009459F8">
        <w:t xml:space="preserve">, </w:t>
      </w:r>
      <w:r w:rsidR="00611260">
        <w:t xml:space="preserve">however, </w:t>
      </w:r>
      <w:r w:rsidR="009459F8">
        <w:t xml:space="preserve">linked far more to </w:t>
      </w:r>
      <w:r w:rsidR="008E54C2">
        <w:t>good intentions</w:t>
      </w:r>
      <w:r w:rsidR="00200DBD">
        <w:t xml:space="preserve"> than to </w:t>
      </w:r>
      <w:r w:rsidR="00A95A4A">
        <w:t>accountable actions.</w:t>
      </w:r>
      <w:r w:rsidR="005012B2">
        <w:t xml:space="preserve"> It has</w:t>
      </w:r>
      <w:r w:rsidR="00B046AB">
        <w:t xml:space="preserve"> notably</w:t>
      </w:r>
      <w:r w:rsidR="005012B2">
        <w:t xml:space="preserve"> been</w:t>
      </w:r>
      <w:r w:rsidR="000B1632" w:rsidRPr="000B1632">
        <w:t xml:space="preserve"> </w:t>
      </w:r>
      <w:r w:rsidR="00054EE8">
        <w:t>referenc</w:t>
      </w:r>
      <w:r w:rsidR="001E0A2D">
        <w:t>ed</w:t>
      </w:r>
      <w:r w:rsidR="00A944B2" w:rsidRPr="00A944B2">
        <w:t xml:space="preserve"> </w:t>
      </w:r>
      <w:r w:rsidR="00A944B2" w:rsidRPr="000B1632">
        <w:t>by both administrative and judicial authorities</w:t>
      </w:r>
      <w:r w:rsidR="001C1B84">
        <w:t>,</w:t>
      </w:r>
      <w:r w:rsidR="000C403B">
        <w:t xml:space="preserve"> as well as </w:t>
      </w:r>
      <w:r w:rsidR="004B3086">
        <w:lastRenderedPageBreak/>
        <w:t>private actors</w:t>
      </w:r>
      <w:r w:rsidR="001C1B84">
        <w:t xml:space="preserve">, </w:t>
      </w:r>
      <w:r w:rsidR="00981235">
        <w:t>to justify decisions made</w:t>
      </w:r>
      <w:r w:rsidR="00B046AB">
        <w:t xml:space="preserve"> </w:t>
      </w:r>
      <w:r w:rsidR="00D25FD2" w:rsidRPr="000B1632">
        <w:t>r</w:t>
      </w:r>
      <w:r w:rsidR="00D25FD2">
        <w:t xml:space="preserve">egarding </w:t>
      </w:r>
      <w:r w:rsidR="00C06055">
        <w:t>the</w:t>
      </w:r>
      <w:r w:rsidR="00507E3D">
        <w:t xml:space="preserve"> </w:t>
      </w:r>
      <w:r w:rsidR="00086A3A">
        <w:t xml:space="preserve">most appropriate care </w:t>
      </w:r>
      <w:r w:rsidR="00555E9E">
        <w:t>arrangements</w:t>
      </w:r>
      <w:r w:rsidR="00086A3A">
        <w:t xml:space="preserve"> for a child.</w:t>
      </w:r>
      <w:r w:rsidR="00C06055">
        <w:t xml:space="preserve"> </w:t>
      </w:r>
    </w:p>
    <w:p w14:paraId="41847C87" w14:textId="25D509C8" w:rsidR="000B1632" w:rsidRPr="000B1632" w:rsidRDefault="001011F5" w:rsidP="0096484E">
      <w:r>
        <w:t>But it has also</w:t>
      </w:r>
      <w:r w:rsidR="004C7570">
        <w:t xml:space="preserve"> been </w:t>
      </w:r>
      <w:r w:rsidR="00B026C3">
        <w:t xml:space="preserve">used </w:t>
      </w:r>
      <w:r w:rsidR="00AF652F">
        <w:t xml:space="preserve">in support of general policy </w:t>
      </w:r>
      <w:r w:rsidR="007F2A1E">
        <w:t xml:space="preserve">measures </w:t>
      </w:r>
      <w:r w:rsidR="00E31951">
        <w:t xml:space="preserve">regarding children, such </w:t>
      </w:r>
      <w:r w:rsidR="00D20341">
        <w:t xml:space="preserve">as programmes </w:t>
      </w:r>
      <w:r w:rsidR="00971815">
        <w:t xml:space="preserve">to forcibly separate indigenous children from their parents, </w:t>
      </w:r>
      <w:r w:rsidR="00BA5A75">
        <w:t>forced adoptions of babies of single mothers and</w:t>
      </w:r>
      <w:r w:rsidR="004E09BB">
        <w:t>, importantly,</w:t>
      </w:r>
      <w:r w:rsidR="00BA5A75">
        <w:t xml:space="preserve"> forced </w:t>
      </w:r>
      <w:r w:rsidR="004E09BB">
        <w:t>migration</w:t>
      </w:r>
      <w:r w:rsidR="00F77F05">
        <w:t xml:space="preserve"> </w:t>
      </w:r>
      <w:r w:rsidR="005E687F">
        <w:t xml:space="preserve">(e.g. British children </w:t>
      </w:r>
      <w:r w:rsidR="004A1CCA">
        <w:t>from families in poverty being sent to Australia</w:t>
      </w:r>
      <w:r w:rsidR="00373324">
        <w:t xml:space="preserve"> </w:t>
      </w:r>
      <w:r w:rsidR="007C0A68">
        <w:t>up to</w:t>
      </w:r>
      <w:r w:rsidR="00373324">
        <w:t xml:space="preserve"> the mid-20</w:t>
      </w:r>
      <w:r w:rsidR="00373324" w:rsidRPr="00373324">
        <w:rPr>
          <w:vertAlign w:val="superscript"/>
        </w:rPr>
        <w:t>th</w:t>
      </w:r>
      <w:r w:rsidR="00373324">
        <w:t xml:space="preserve"> century</w:t>
      </w:r>
      <w:r w:rsidR="00D24554">
        <w:t>).</w:t>
      </w:r>
      <w:r w:rsidR="000B1632" w:rsidRPr="000B1632">
        <w:t xml:space="preserve"> </w:t>
      </w:r>
      <w:r w:rsidR="00750402">
        <w:t>And it</w:t>
      </w:r>
      <w:r w:rsidR="00D24554">
        <w:t xml:space="preserve"> is </w:t>
      </w:r>
      <w:r w:rsidR="008474EF">
        <w:t xml:space="preserve">many of </w:t>
      </w:r>
      <w:r w:rsidR="00D24554">
        <w:t xml:space="preserve">these </w:t>
      </w:r>
      <w:r w:rsidR="0032472C">
        <w:t xml:space="preserve">“collective” </w:t>
      </w:r>
      <w:r w:rsidR="00D24554">
        <w:t>d</w:t>
      </w:r>
      <w:r w:rsidR="000B1632" w:rsidRPr="000B1632">
        <w:t>ecisions</w:t>
      </w:r>
      <w:r w:rsidR="0032472C">
        <w:t xml:space="preserve"> in particular that</w:t>
      </w:r>
      <w:r w:rsidR="004534B9">
        <w:t xml:space="preserve"> produced</w:t>
      </w:r>
      <w:r w:rsidR="000B1632" w:rsidRPr="000B1632">
        <w:t xml:space="preserve"> outcomes </w:t>
      </w:r>
      <w:r w:rsidR="004534B9">
        <w:t xml:space="preserve">that we </w:t>
      </w:r>
      <w:r w:rsidR="000B1632" w:rsidRPr="000B1632">
        <w:t xml:space="preserve">now consider to </w:t>
      </w:r>
      <w:r w:rsidR="004534B9">
        <w:t xml:space="preserve">be egregious </w:t>
      </w:r>
      <w:r w:rsidR="000B1632" w:rsidRPr="000B1632">
        <w:t>violat</w:t>
      </w:r>
      <w:r w:rsidR="004534B9">
        <w:t>ions of</w:t>
      </w:r>
      <w:r w:rsidR="000B1632" w:rsidRPr="000B1632">
        <w:t xml:space="preserve"> children’s human rights</w:t>
      </w:r>
      <w:r w:rsidR="004534B9">
        <w:t>.</w:t>
      </w:r>
    </w:p>
    <w:p w14:paraId="08665442" w14:textId="53387C6A" w:rsidR="000B1632" w:rsidRPr="000B1632" w:rsidRDefault="000B1632" w:rsidP="0036715F">
      <w:r w:rsidRPr="000B1632">
        <w:t>I</w:t>
      </w:r>
      <w:r w:rsidR="00E0356B">
        <w:t xml:space="preserve">t is instructive to </w:t>
      </w:r>
      <w:r w:rsidR="00070CBD">
        <w:t xml:space="preserve">note that </w:t>
      </w:r>
      <w:r w:rsidR="00B95054">
        <w:t>i</w:t>
      </w:r>
      <w:r w:rsidR="00070CBD" w:rsidRPr="000B1632">
        <w:t>n</w:t>
      </w:r>
      <w:r w:rsidRPr="000B1632">
        <w:t xml:space="preserve"> international human rights law and private international law, </w:t>
      </w:r>
      <w:r w:rsidR="00424A87">
        <w:t xml:space="preserve">children are </w:t>
      </w:r>
      <w:r w:rsidRPr="000B1632">
        <w:t xml:space="preserve">the only rights-holders </w:t>
      </w:r>
      <w:r w:rsidR="004F5CB4">
        <w:t>whose</w:t>
      </w:r>
      <w:r w:rsidRPr="000B1632">
        <w:t xml:space="preserve"> (best) interests are considered </w:t>
      </w:r>
      <w:r w:rsidR="00D03CFB">
        <w:t>to require explicit mention</w:t>
      </w:r>
      <w:r w:rsidRPr="000B1632">
        <w:t xml:space="preserve"> </w:t>
      </w:r>
      <w:r w:rsidR="002B6EF6">
        <w:t xml:space="preserve">as a means </w:t>
      </w:r>
      <w:r w:rsidRPr="000B1632">
        <w:t>to realising those rights</w:t>
      </w:r>
      <w:r w:rsidR="006C1816">
        <w:t xml:space="preserve"> appropriately</w:t>
      </w:r>
      <w:r w:rsidRPr="000B1632">
        <w:t>.</w:t>
      </w:r>
      <w:r w:rsidR="00217480">
        <w:t xml:space="preserve"> No other ostensibly “vulnerable” group </w:t>
      </w:r>
      <w:r w:rsidR="00E836BE">
        <w:t xml:space="preserve">is </w:t>
      </w:r>
      <w:r w:rsidR="00A211E8">
        <w:t xml:space="preserve">deemed to need </w:t>
      </w:r>
      <w:r w:rsidR="002570AD">
        <w:t xml:space="preserve">such a protection – indeed, </w:t>
      </w:r>
      <w:r w:rsidR="009B1444">
        <w:t>any</w:t>
      </w:r>
      <w:r w:rsidR="008B62ED">
        <w:t xml:space="preserve"> potential</w:t>
      </w:r>
      <w:r w:rsidR="00297666">
        <w:t xml:space="preserve"> “best in</w:t>
      </w:r>
      <w:r w:rsidR="004F6B43">
        <w:t xml:space="preserve">terests” consideration </w:t>
      </w:r>
      <w:r w:rsidR="009B1444">
        <w:t>in relation to</w:t>
      </w:r>
      <w:r w:rsidR="004F6B43">
        <w:t xml:space="preserve"> vulnerable adults </w:t>
      </w:r>
      <w:r w:rsidR="009B1444">
        <w:t>has been regularly quashed</w:t>
      </w:r>
      <w:r w:rsidR="00BA5F06">
        <w:t xml:space="preserve"> during treaty negotiations</w:t>
      </w:r>
      <w:r w:rsidR="00DC53B8">
        <w:t xml:space="preserve"> as being at best paternalistic</w:t>
      </w:r>
      <w:r w:rsidR="00BA5F06">
        <w:t xml:space="preserve">. </w:t>
      </w:r>
      <w:r w:rsidR="00AF43DA">
        <w:t>V</w:t>
      </w:r>
      <w:r w:rsidR="006D4F3A">
        <w:t>itally in the context of this discussion,</w:t>
      </w:r>
      <w:r w:rsidR="00BA5F06">
        <w:t xml:space="preserve"> </w:t>
      </w:r>
      <w:r w:rsidR="00BA5F06" w:rsidRPr="000B1632">
        <w:t>international humanitarian and refugee law</w:t>
      </w:r>
      <w:r w:rsidR="00E56DA7">
        <w:t xml:space="preserve"> quite simply</w:t>
      </w:r>
      <w:r w:rsidR="0036715F">
        <w:t xml:space="preserve"> </w:t>
      </w:r>
      <w:r w:rsidR="00A75558">
        <w:t xml:space="preserve">make </w:t>
      </w:r>
      <w:r w:rsidR="0036715F">
        <w:t>n</w:t>
      </w:r>
      <w:r w:rsidRPr="000B1632">
        <w:t>o mention</w:t>
      </w:r>
      <w:r w:rsidR="00F317C5">
        <w:t xml:space="preserve"> whatsoever</w:t>
      </w:r>
      <w:r w:rsidRPr="000B1632">
        <w:t xml:space="preserve"> of best interests </w:t>
      </w:r>
      <w:r w:rsidR="00F72512">
        <w:t>for anyone</w:t>
      </w:r>
      <w:r w:rsidRPr="000B1632">
        <w:t>.</w:t>
      </w:r>
    </w:p>
    <w:p w14:paraId="58BB28B7" w14:textId="4A409213" w:rsidR="000B1632" w:rsidRDefault="007C601F" w:rsidP="00E37A4A">
      <w:r>
        <w:t>Consequently</w:t>
      </w:r>
      <w:r w:rsidR="000B1632" w:rsidRPr="000B1632">
        <w:t>,</w:t>
      </w:r>
      <w:r w:rsidR="00E37A4A">
        <w:t xml:space="preserve"> </w:t>
      </w:r>
      <w:r w:rsidR="00B73CF4">
        <w:t>against this overall background,</w:t>
      </w:r>
      <w:r w:rsidR="00F955A6">
        <w:t xml:space="preserve"> </w:t>
      </w:r>
      <w:r w:rsidR="00E37A4A">
        <w:t>we need to examine</w:t>
      </w:r>
      <w:r w:rsidR="000B1632" w:rsidRPr="000B1632">
        <w:t xml:space="preserve"> how</w:t>
      </w:r>
      <w:r w:rsidR="009375C7">
        <w:t xml:space="preserve"> the</w:t>
      </w:r>
      <w:r w:rsidR="000B1632" w:rsidRPr="000B1632">
        <w:t xml:space="preserve"> ‘’best interests’’</w:t>
      </w:r>
      <w:r w:rsidR="009375C7">
        <w:t xml:space="preserve"> </w:t>
      </w:r>
      <w:r w:rsidR="00877A70">
        <w:t>notion</w:t>
      </w:r>
      <w:r w:rsidR="000B1632" w:rsidRPr="000B1632">
        <w:t xml:space="preserve"> fit</w:t>
      </w:r>
      <w:r w:rsidR="00877A70">
        <w:t>s</w:t>
      </w:r>
      <w:r w:rsidR="000B1632" w:rsidRPr="000B1632">
        <w:t xml:space="preserve"> with</w:t>
      </w:r>
      <w:r w:rsidR="005940C4">
        <w:t>in</w:t>
      </w:r>
      <w:r w:rsidR="000B1632" w:rsidRPr="000B1632">
        <w:t xml:space="preserve"> a human rights framework and</w:t>
      </w:r>
      <w:r w:rsidR="005940C4">
        <w:t xml:space="preserve"> </w:t>
      </w:r>
      <w:r w:rsidR="00317727">
        <w:t>might</w:t>
      </w:r>
      <w:r w:rsidR="000B1632" w:rsidRPr="000B1632">
        <w:t xml:space="preserve"> add value </w:t>
      </w:r>
      <w:r w:rsidR="00317727">
        <w:t xml:space="preserve">specifically </w:t>
      </w:r>
      <w:r w:rsidR="000B1632" w:rsidRPr="000B1632">
        <w:t xml:space="preserve">to </w:t>
      </w:r>
      <w:r w:rsidR="00317727">
        <w:t>the</w:t>
      </w:r>
      <w:r w:rsidR="000B1632" w:rsidRPr="000B1632">
        <w:t xml:space="preserve"> protection</w:t>
      </w:r>
      <w:r w:rsidR="00317727">
        <w:t xml:space="preserve"> of the rights</w:t>
      </w:r>
      <w:r w:rsidR="00A37E39">
        <w:t xml:space="preserve"> </w:t>
      </w:r>
      <w:r w:rsidR="00045282">
        <w:t>of children moving across borders.</w:t>
      </w:r>
    </w:p>
    <w:p w14:paraId="374BB5AE" w14:textId="20D52D12" w:rsidR="000B1632" w:rsidRPr="00C76298" w:rsidRDefault="00902A9D" w:rsidP="00F2271E">
      <w:pPr>
        <w:rPr>
          <w:b/>
          <w:bCs/>
        </w:rPr>
      </w:pPr>
      <w:r w:rsidRPr="00C76298">
        <w:rPr>
          <w:b/>
          <w:bCs/>
        </w:rPr>
        <w:t xml:space="preserve">How “best interests” came to </w:t>
      </w:r>
      <w:r w:rsidR="00D15D19" w:rsidRPr="00C76298">
        <w:rPr>
          <w:b/>
          <w:bCs/>
        </w:rPr>
        <w:t>figure large in the CRC</w:t>
      </w:r>
      <w:r w:rsidR="00C76298" w:rsidRPr="00C76298">
        <w:rPr>
          <w:b/>
          <w:bCs/>
        </w:rPr>
        <w:t>.</w:t>
      </w:r>
      <w:r w:rsidR="00D15D19" w:rsidRPr="00C76298">
        <w:rPr>
          <w:b/>
          <w:bCs/>
        </w:rPr>
        <w:t>..</w:t>
      </w:r>
    </w:p>
    <w:p w14:paraId="5255A7E1" w14:textId="6BD2EAAD" w:rsidR="00D26ABB" w:rsidRPr="000B1632" w:rsidRDefault="0098167D" w:rsidP="00385808">
      <w:r>
        <w:t>The i</w:t>
      </w:r>
      <w:r w:rsidRPr="000B1632">
        <w:t xml:space="preserve">nitial Polish proposal for </w:t>
      </w:r>
      <w:r w:rsidR="0083641D">
        <w:t>a Convention</w:t>
      </w:r>
      <w:r w:rsidRPr="000B1632">
        <w:t xml:space="preserve"> (1978) </w:t>
      </w:r>
      <w:r w:rsidR="00385808">
        <w:t>was based on</w:t>
      </w:r>
      <w:r w:rsidR="00310251">
        <w:t xml:space="preserve"> the text of</w:t>
      </w:r>
      <w:r w:rsidRPr="000B1632">
        <w:t xml:space="preserve"> the 1959 Declaration</w:t>
      </w:r>
      <w:r w:rsidR="00385808">
        <w:t xml:space="preserve"> </w:t>
      </w:r>
      <w:r w:rsidR="00D26ABB" w:rsidRPr="000B1632">
        <w:t>on the Rights of the Child</w:t>
      </w:r>
      <w:r w:rsidR="00D26ABB">
        <w:t xml:space="preserve"> </w:t>
      </w:r>
      <w:r w:rsidR="00385808">
        <w:t>which</w:t>
      </w:r>
      <w:r w:rsidR="00B745B0">
        <w:t xml:space="preserve"> had</w:t>
      </w:r>
      <w:r w:rsidR="00385808">
        <w:t xml:space="preserve"> </w:t>
      </w:r>
      <w:r w:rsidR="001768C1">
        <w:t xml:space="preserve">simply </w:t>
      </w:r>
      <w:r w:rsidR="00D26ABB">
        <w:t>established</w:t>
      </w:r>
      <w:r w:rsidR="00D26ABB" w:rsidRPr="000B1632">
        <w:t xml:space="preserve"> BIC </w:t>
      </w:r>
      <w:r w:rsidR="00D26ABB">
        <w:t>as</w:t>
      </w:r>
      <w:r w:rsidR="00D26ABB" w:rsidRPr="000B1632">
        <w:t xml:space="preserve"> ‘’the paramount consideration’’ </w:t>
      </w:r>
      <w:r w:rsidR="00891317">
        <w:t>for</w:t>
      </w:r>
      <w:r w:rsidR="00D26ABB" w:rsidRPr="000B1632">
        <w:t xml:space="preserve"> lawmakers </w:t>
      </w:r>
      <w:r w:rsidR="000C4AC5">
        <w:t>as well as</w:t>
      </w:r>
      <w:r w:rsidR="00D26ABB" w:rsidRPr="000B1632">
        <w:t xml:space="preserve"> the ‘’guiding principle’’ for parents</w:t>
      </w:r>
      <w:r w:rsidR="00D26ABB">
        <w:t xml:space="preserve">, but went no further. </w:t>
      </w:r>
    </w:p>
    <w:p w14:paraId="050FEBEE" w14:textId="0C19A1F3" w:rsidR="000B1632" w:rsidRPr="000B1632" w:rsidRDefault="009711CE" w:rsidP="00385808">
      <w:r>
        <w:t>Requested</w:t>
      </w:r>
      <w:r w:rsidR="00CE1219">
        <w:t xml:space="preserve"> to </w:t>
      </w:r>
      <w:r w:rsidR="00922EFD">
        <w:t>submit a revised</w:t>
      </w:r>
      <w:r w:rsidR="000B1632" w:rsidRPr="000B1632">
        <w:t xml:space="preserve"> proposal</w:t>
      </w:r>
      <w:r w:rsidR="00CE1219">
        <w:t>, however, Poland in</w:t>
      </w:r>
      <w:r w:rsidR="000D11FC">
        <w:t xml:space="preserve"> </w:t>
      </w:r>
      <w:r w:rsidR="000B1632" w:rsidRPr="000B1632">
        <w:t xml:space="preserve">1979 </w:t>
      </w:r>
      <w:r w:rsidR="00AC5549">
        <w:t xml:space="preserve">took the drafting group by </w:t>
      </w:r>
      <w:r w:rsidR="00027F1A">
        <w:t>surprise</w:t>
      </w:r>
      <w:r w:rsidR="00922EFD">
        <w:t xml:space="preserve"> on the question of BIC</w:t>
      </w:r>
      <w:r w:rsidR="00027F1A">
        <w:t xml:space="preserve">, </w:t>
      </w:r>
      <w:r w:rsidR="00F957BC">
        <w:t>drastically widen</w:t>
      </w:r>
      <w:r w:rsidR="00027F1A">
        <w:t>ing</w:t>
      </w:r>
      <w:r w:rsidR="00A14FFD">
        <w:t xml:space="preserve"> </w:t>
      </w:r>
      <w:r w:rsidR="00E56A8D">
        <w:t>the scope of the</w:t>
      </w:r>
      <w:r w:rsidR="00A6080A">
        <w:t xml:space="preserve"> draft</w:t>
      </w:r>
      <w:r w:rsidR="00E56A8D">
        <w:t xml:space="preserve"> provision</w:t>
      </w:r>
      <w:r w:rsidR="00E453AF">
        <w:t xml:space="preserve"> to </w:t>
      </w:r>
      <w:r w:rsidR="000E2214">
        <w:t>include</w:t>
      </w:r>
      <w:r w:rsidR="000B1632" w:rsidRPr="000B1632">
        <w:t xml:space="preserve"> </w:t>
      </w:r>
      <w:r w:rsidR="00823F96">
        <w:t>“</w:t>
      </w:r>
      <w:r w:rsidR="000B1632" w:rsidRPr="000B1632">
        <w:t>all actions concerning children</w:t>
      </w:r>
      <w:r w:rsidR="00823F96">
        <w:t>”</w:t>
      </w:r>
      <w:r w:rsidR="000B1632" w:rsidRPr="000B1632">
        <w:t xml:space="preserve"> </w:t>
      </w:r>
      <w:r w:rsidR="007209F6">
        <w:t xml:space="preserve">and </w:t>
      </w:r>
      <w:r w:rsidR="000B1632" w:rsidRPr="000B1632">
        <w:t xml:space="preserve">by a far broader range of actors (parents, guardians, social or State institutions, courts of law and administrative authorities – </w:t>
      </w:r>
      <w:r w:rsidR="00702410">
        <w:t>though</w:t>
      </w:r>
      <w:r w:rsidR="000B1632" w:rsidRPr="000B1632">
        <w:t xml:space="preserve"> strangely excluding lawmakers</w:t>
      </w:r>
      <w:r w:rsidR="007209F6">
        <w:t>!</w:t>
      </w:r>
      <w:r w:rsidR="000B1632" w:rsidRPr="000B1632">
        <w:t>) with BIC to be</w:t>
      </w:r>
      <w:r w:rsidR="00702410">
        <w:t xml:space="preserve"> their</w:t>
      </w:r>
      <w:r w:rsidR="000B1632" w:rsidRPr="000B1632">
        <w:t xml:space="preserve"> ‘paramount consideration’</w:t>
      </w:r>
      <w:r w:rsidR="00B64931">
        <w:t>.</w:t>
      </w:r>
    </w:p>
    <w:p w14:paraId="16845EBB" w14:textId="58437C8A" w:rsidR="00F966BE" w:rsidRDefault="009E5E4B" w:rsidP="00673573">
      <w:r>
        <w:t>As negotiations</w:t>
      </w:r>
      <w:r w:rsidR="001C497A">
        <w:t xml:space="preserve"> on the text proceeded</w:t>
      </w:r>
      <w:r w:rsidR="00D46181">
        <w:t>, the list of</w:t>
      </w:r>
      <w:r w:rsidR="000B1632" w:rsidRPr="000B1632">
        <w:t xml:space="preserve"> actors</w:t>
      </w:r>
      <w:r w:rsidR="004A632C">
        <w:t xml:space="preserve"> was </w:t>
      </w:r>
      <w:r w:rsidR="000E3960">
        <w:t xml:space="preserve">progressively </w:t>
      </w:r>
      <w:r w:rsidR="004A632C">
        <w:t>modified</w:t>
      </w:r>
      <w:r w:rsidR="006F1691">
        <w:t>, producing</w:t>
      </w:r>
      <w:r w:rsidR="004A632C">
        <w:t xml:space="preserve"> </w:t>
      </w:r>
      <w:r w:rsidR="00053C08">
        <w:t xml:space="preserve">the </w:t>
      </w:r>
      <w:r w:rsidR="00840A21">
        <w:t xml:space="preserve">final text </w:t>
      </w:r>
      <w:r w:rsidR="00CD484E">
        <w:t xml:space="preserve">we have today </w:t>
      </w:r>
      <w:r w:rsidR="00432D92">
        <w:t>(CRC Art. 3.1)</w:t>
      </w:r>
      <w:r w:rsidR="00CD484E">
        <w:t>:</w:t>
      </w:r>
      <w:r w:rsidR="000B1632" w:rsidRPr="000B1632">
        <w:t xml:space="preserve"> ‘’public or private social welfare institutions, courts of law</w:t>
      </w:r>
      <w:r w:rsidR="00E702AD">
        <w:t>,</w:t>
      </w:r>
      <w:r w:rsidR="000B1632" w:rsidRPr="000B1632">
        <w:t xml:space="preserve"> administrative authorities</w:t>
      </w:r>
      <w:r w:rsidR="005F5681">
        <w:t xml:space="preserve">, or </w:t>
      </w:r>
      <w:r w:rsidR="005F5681" w:rsidRPr="000B1632">
        <w:t>legislative bodies</w:t>
      </w:r>
      <w:r w:rsidR="000B1632" w:rsidRPr="000B1632">
        <w:t xml:space="preserve">’’ </w:t>
      </w:r>
      <w:r w:rsidR="00FC2883">
        <w:t>for whom</w:t>
      </w:r>
      <w:r w:rsidR="00577773">
        <w:t>, significantly,</w:t>
      </w:r>
      <w:r w:rsidR="000B1632" w:rsidRPr="000B1632">
        <w:t xml:space="preserve"> BIC </w:t>
      </w:r>
      <w:r w:rsidR="00AF5ADD">
        <w:t>is</w:t>
      </w:r>
      <w:r w:rsidR="00577773">
        <w:t xml:space="preserve"> </w:t>
      </w:r>
      <w:r w:rsidR="000B1632" w:rsidRPr="000B1632">
        <w:t xml:space="preserve">to be </w:t>
      </w:r>
      <w:r w:rsidR="00FC2883">
        <w:t>a</w:t>
      </w:r>
      <w:r w:rsidR="000B1632" w:rsidRPr="000B1632">
        <w:t xml:space="preserve"> ‘’primary consideration</w:t>
      </w:r>
      <w:r w:rsidR="00FC2883">
        <w:t>”</w:t>
      </w:r>
      <w:r w:rsidR="00AF5ADD">
        <w:t>,</w:t>
      </w:r>
      <w:r w:rsidR="00A160D6">
        <w:t xml:space="preserve"> no</w:t>
      </w:r>
      <w:r w:rsidR="00F2760E">
        <w:t xml:space="preserve"> longer</w:t>
      </w:r>
      <w:r w:rsidR="00A160D6">
        <w:t xml:space="preserve"> the</w:t>
      </w:r>
      <w:r w:rsidR="00AF10C2">
        <w:t xml:space="preserve"> “paramount”</w:t>
      </w:r>
      <w:r w:rsidR="00A160D6">
        <w:t xml:space="preserve"> determining factor.</w:t>
      </w:r>
      <w:r w:rsidR="002D0664">
        <w:t xml:space="preserve"> </w:t>
      </w:r>
      <w:r w:rsidR="007C295F">
        <w:t>T</w:t>
      </w:r>
      <w:r w:rsidR="00F35717">
        <w:t xml:space="preserve">he </w:t>
      </w:r>
      <w:r w:rsidR="00027138">
        <w:t xml:space="preserve">basically unenforceable </w:t>
      </w:r>
      <w:r w:rsidR="00F35717">
        <w:t xml:space="preserve">injunction that parents </w:t>
      </w:r>
      <w:r w:rsidR="00D2065E">
        <w:t>be guided by BIC</w:t>
      </w:r>
      <w:r w:rsidR="00027138">
        <w:t>,</w:t>
      </w:r>
      <w:r w:rsidR="006F74A2">
        <w:t xml:space="preserve"> </w:t>
      </w:r>
      <w:r w:rsidR="001D7FBC">
        <w:t>being</w:t>
      </w:r>
      <w:r w:rsidR="00C613E6">
        <w:t xml:space="preserve"> a somewhat distinct issue </w:t>
      </w:r>
      <w:r w:rsidR="00E7167F">
        <w:t>from the accountability of entities</w:t>
      </w:r>
      <w:r w:rsidR="00027138">
        <w:t>,</w:t>
      </w:r>
      <w:r w:rsidR="006F74A2">
        <w:t xml:space="preserve"> </w:t>
      </w:r>
      <w:r w:rsidR="00D2065E">
        <w:t xml:space="preserve">was </w:t>
      </w:r>
      <w:r w:rsidR="000A386A">
        <w:t xml:space="preserve">logically </w:t>
      </w:r>
      <w:r w:rsidR="00D2065E">
        <w:t>moved to</w:t>
      </w:r>
      <w:r w:rsidR="000A386A">
        <w:t xml:space="preserve"> a separate provision</w:t>
      </w:r>
      <w:r w:rsidR="00D2065E">
        <w:t xml:space="preserve"> </w:t>
      </w:r>
      <w:r w:rsidR="000A386A">
        <w:t>(</w:t>
      </w:r>
      <w:r w:rsidR="00432D92">
        <w:t xml:space="preserve">CRC </w:t>
      </w:r>
      <w:r w:rsidR="00D2065E">
        <w:t>Art 18</w:t>
      </w:r>
      <w:r w:rsidR="00F57126">
        <w:t>.1</w:t>
      </w:r>
      <w:r w:rsidR="00BE74F3">
        <w:t>)</w:t>
      </w:r>
      <w:r w:rsidR="00DF15CD">
        <w:t>.</w:t>
      </w:r>
      <w:r w:rsidR="00BE74F3">
        <w:t xml:space="preserve"> </w:t>
      </w:r>
    </w:p>
    <w:p w14:paraId="4EDAC2EE" w14:textId="67D83CCE" w:rsidR="000B1632" w:rsidRPr="000B1632" w:rsidRDefault="00DF15CD" w:rsidP="00673573">
      <w:r>
        <w:t>M</w:t>
      </w:r>
      <w:r w:rsidR="00A562C7">
        <w:t>ost importantly</w:t>
      </w:r>
      <w:r>
        <w:t>, however,</w:t>
      </w:r>
      <w:r w:rsidR="00A562C7">
        <w:t xml:space="preserve"> </w:t>
      </w:r>
      <w:r w:rsidR="00F22CA7">
        <w:t>a</w:t>
      </w:r>
      <w:r w:rsidR="000B1632" w:rsidRPr="000B1632">
        <w:t xml:space="preserve"> paragraph on the child’s </w:t>
      </w:r>
      <w:r w:rsidR="0014230E">
        <w:t>“</w:t>
      </w:r>
      <w:r w:rsidR="000B1632" w:rsidRPr="000B1632">
        <w:t>right to be heard</w:t>
      </w:r>
      <w:r w:rsidR="0014230E">
        <w:t>”</w:t>
      </w:r>
      <w:r w:rsidR="00BD5F94">
        <w:t xml:space="preserve"> </w:t>
      </w:r>
      <w:r w:rsidR="00117B7B">
        <w:t>tha</w:t>
      </w:r>
      <w:r w:rsidR="007D5BF4">
        <w:t xml:space="preserve">t had been an integral part of the </w:t>
      </w:r>
      <w:r>
        <w:t xml:space="preserve">Polish proposal on BIC </w:t>
      </w:r>
      <w:r w:rsidR="00954736">
        <w:t>was transformed into</w:t>
      </w:r>
      <w:r w:rsidR="00410843">
        <w:t xml:space="preserve"> an article in its own right (</w:t>
      </w:r>
      <w:r w:rsidR="00432D92">
        <w:t xml:space="preserve">CRC </w:t>
      </w:r>
      <w:r w:rsidR="00410843">
        <w:t>Art 12)</w:t>
      </w:r>
      <w:r w:rsidR="00220A2B">
        <w:t>. T</w:t>
      </w:r>
      <w:r w:rsidR="00793450">
        <w:t xml:space="preserve">hat said, </w:t>
      </w:r>
      <w:r w:rsidR="00331C4A">
        <w:t>t</w:t>
      </w:r>
      <w:r w:rsidR="00220A2B">
        <w:t>he UN Committee</w:t>
      </w:r>
      <w:r w:rsidR="00EF4417">
        <w:t xml:space="preserve"> on the Rights of the Child (</w:t>
      </w:r>
      <w:r w:rsidR="00184CB0">
        <w:t>C</w:t>
      </w:r>
      <w:r w:rsidR="00D3020D">
        <w:t>RC</w:t>
      </w:r>
      <w:r w:rsidR="00184CB0">
        <w:t xml:space="preserve"> Committee</w:t>
      </w:r>
      <w:r w:rsidR="00D3020D">
        <w:t>)</w:t>
      </w:r>
      <w:r w:rsidR="00220A2B">
        <w:t xml:space="preserve"> has </w:t>
      </w:r>
      <w:r w:rsidR="00EB4133">
        <w:t xml:space="preserve">subsequently </w:t>
      </w:r>
      <w:r w:rsidR="00F17212">
        <w:t xml:space="preserve">emphasised the reciprocal relationship between the </w:t>
      </w:r>
      <w:r w:rsidR="006B1267">
        <w:t xml:space="preserve">two provisions: </w:t>
      </w:r>
      <w:r w:rsidR="005A1204">
        <w:t xml:space="preserve">best interests cannot be determined without taking due account of the child’s opinion, and the child’s opinion </w:t>
      </w:r>
      <w:r w:rsidR="00310FB5">
        <w:t>should not</w:t>
      </w:r>
      <w:r w:rsidR="005A1204">
        <w:t xml:space="preserve"> be </w:t>
      </w:r>
      <w:r w:rsidR="00C11AF5">
        <w:t>acted upon without considering the implications for his or her best interests.</w:t>
      </w:r>
      <w:r w:rsidR="006B1267">
        <w:t xml:space="preserve"> </w:t>
      </w:r>
      <w:r w:rsidR="006B729A">
        <w:t>It is vital to keep this in mind.</w:t>
      </w:r>
    </w:p>
    <w:p w14:paraId="29924542" w14:textId="0775CFB2" w:rsidR="00111319" w:rsidRPr="000B1632" w:rsidRDefault="00F173AD" w:rsidP="00713347">
      <w:r>
        <w:lastRenderedPageBreak/>
        <w:t xml:space="preserve">All this happened, however, </w:t>
      </w:r>
      <w:r w:rsidR="009B68FD">
        <w:t xml:space="preserve">without any </w:t>
      </w:r>
      <w:r w:rsidR="009B68FD" w:rsidRPr="000B1632">
        <w:t>in-depth discussion</w:t>
      </w:r>
      <w:r w:rsidR="00262B4A" w:rsidRPr="00262B4A">
        <w:t xml:space="preserve"> </w:t>
      </w:r>
      <w:r w:rsidR="00262B4A" w:rsidRPr="000B1632">
        <w:t>during drafting</w:t>
      </w:r>
      <w:r w:rsidR="009B68FD" w:rsidRPr="000B1632">
        <w:t xml:space="preserve"> </w:t>
      </w:r>
      <w:r w:rsidR="00262B4A">
        <w:t>about</w:t>
      </w:r>
      <w:r w:rsidR="009B68FD">
        <w:t xml:space="preserve"> the</w:t>
      </w:r>
      <w:r w:rsidR="009B68FD" w:rsidRPr="000B1632">
        <w:t xml:space="preserve"> ramifications of broade</w:t>
      </w:r>
      <w:r w:rsidR="009B68FD">
        <w:t>ning</w:t>
      </w:r>
      <w:r w:rsidR="008F6B62">
        <w:t xml:space="preserve"> </w:t>
      </w:r>
      <w:r w:rsidR="00262B4A">
        <w:t>the applicability of</w:t>
      </w:r>
      <w:r w:rsidR="009B68FD" w:rsidRPr="000B1632">
        <w:t xml:space="preserve"> BIC</w:t>
      </w:r>
      <w:r w:rsidR="00262B4A">
        <w:t>. Very few</w:t>
      </w:r>
      <w:r w:rsidR="00052A64">
        <w:t xml:space="preserve"> States</w:t>
      </w:r>
      <w:r w:rsidR="00262B4A">
        <w:t xml:space="preserve"> – Venezuela </w:t>
      </w:r>
      <w:r w:rsidR="00E7318D">
        <w:t>was</w:t>
      </w:r>
      <w:r w:rsidR="00262B4A">
        <w:t xml:space="preserve"> one</w:t>
      </w:r>
      <w:r w:rsidR="003A44E7">
        <w:t>, but</w:t>
      </w:r>
      <w:r w:rsidR="001533EC">
        <w:t xml:space="preserve"> </w:t>
      </w:r>
      <w:r w:rsidR="00746F12">
        <w:t>almost at the end of</w:t>
      </w:r>
      <w:r w:rsidR="003A44E7">
        <w:t xml:space="preserve"> the process</w:t>
      </w:r>
      <w:r w:rsidR="00262B4A">
        <w:t xml:space="preserve"> </w:t>
      </w:r>
      <w:r w:rsidR="00E7318D">
        <w:t>–</w:t>
      </w:r>
      <w:r w:rsidR="00262B4A">
        <w:t xml:space="preserve"> </w:t>
      </w:r>
      <w:r w:rsidR="00E7318D">
        <w:t xml:space="preserve">questioned this quantum leap from the </w:t>
      </w:r>
      <w:r w:rsidR="006D7C09">
        <w:t xml:space="preserve">terms of the 1959 Declaration to what </w:t>
      </w:r>
      <w:r w:rsidR="00424D88">
        <w:t>was to</w:t>
      </w:r>
      <w:r w:rsidR="006D7C09">
        <w:t xml:space="preserve"> become </w:t>
      </w:r>
      <w:r w:rsidR="002610E2">
        <w:t>a key provision in the CRC.</w:t>
      </w:r>
      <w:r w:rsidR="00492FBA">
        <w:t xml:space="preserve"> One obvious </w:t>
      </w:r>
      <w:r w:rsidR="00C5792E">
        <w:t xml:space="preserve">problem – </w:t>
      </w:r>
      <w:r w:rsidR="00666513">
        <w:t xml:space="preserve">especially </w:t>
      </w:r>
      <w:r w:rsidR="00C5792E">
        <w:t xml:space="preserve">in a treaty supposed to set out </w:t>
      </w:r>
      <w:r w:rsidR="00C52FCE">
        <w:t>precise</w:t>
      </w:r>
      <w:r w:rsidR="00C5792E">
        <w:t xml:space="preserve"> State obligations</w:t>
      </w:r>
      <w:r w:rsidR="00666513">
        <w:t xml:space="preserve"> towards children</w:t>
      </w:r>
      <w:r w:rsidR="00C5792E">
        <w:t xml:space="preserve"> </w:t>
      </w:r>
      <w:r w:rsidR="00DD334E">
        <w:t>–</w:t>
      </w:r>
      <w:r w:rsidR="00666513">
        <w:t xml:space="preserve"> </w:t>
      </w:r>
      <w:r w:rsidR="00DD334E">
        <w:t xml:space="preserve">was </w:t>
      </w:r>
      <w:r w:rsidR="00BE3DF1">
        <w:t xml:space="preserve">the </w:t>
      </w:r>
      <w:r w:rsidR="00F6551C">
        <w:t xml:space="preserve">lack of criteria against which best interests might be </w:t>
      </w:r>
      <w:r w:rsidR="00151CA8">
        <w:t xml:space="preserve">assessed. While there was agreement </w:t>
      </w:r>
      <w:r w:rsidR="00713347">
        <w:t xml:space="preserve">on the need for </w:t>
      </w:r>
      <w:r w:rsidR="00111319" w:rsidRPr="000B1632">
        <w:t>flexibility to take account</w:t>
      </w:r>
      <w:r w:rsidR="00143E23">
        <w:t xml:space="preserve"> notably</w:t>
      </w:r>
      <w:r w:rsidR="00111319" w:rsidRPr="000B1632">
        <w:t xml:space="preserve"> of socio-cultural context</w:t>
      </w:r>
      <w:r w:rsidR="001D19E4">
        <w:t xml:space="preserve"> and</w:t>
      </w:r>
      <w:r w:rsidR="001D19E4" w:rsidRPr="001D19E4">
        <w:t xml:space="preserve"> </w:t>
      </w:r>
      <w:r w:rsidR="001D19E4" w:rsidRPr="000B1632">
        <w:t>individual situations</w:t>
      </w:r>
      <w:r w:rsidR="00713347">
        <w:t>,</w:t>
      </w:r>
      <w:r w:rsidR="00111319" w:rsidRPr="000B1632">
        <w:t xml:space="preserve"> </w:t>
      </w:r>
      <w:r w:rsidR="00851610">
        <w:t xml:space="preserve">it was </w:t>
      </w:r>
      <w:r w:rsidR="00D80FF8">
        <w:t>not</w:t>
      </w:r>
      <w:r w:rsidR="001D19E4">
        <w:t xml:space="preserve"> </w:t>
      </w:r>
      <w:r w:rsidR="00851610">
        <w:t xml:space="preserve">without cause that </w:t>
      </w:r>
      <w:r w:rsidR="00111319" w:rsidRPr="000B1632">
        <w:t>Venezuela questioned the potential subjectivity of judgements on BIC</w:t>
      </w:r>
      <w:r w:rsidR="00CE5FE1">
        <w:t xml:space="preserve"> in the absence of </w:t>
      </w:r>
      <w:r w:rsidR="00743CB6">
        <w:t>a clear definition</w:t>
      </w:r>
      <w:r w:rsidR="00851610">
        <w:t xml:space="preserve">. But </w:t>
      </w:r>
      <w:r w:rsidR="001A2260">
        <w:t>Venezu</w:t>
      </w:r>
      <w:r w:rsidR="00746F12">
        <w:t>ela</w:t>
      </w:r>
      <w:r w:rsidR="00851610">
        <w:t xml:space="preserve"> </w:t>
      </w:r>
      <w:r w:rsidR="006F13EE">
        <w:t xml:space="preserve">did so at a very late stage </w:t>
      </w:r>
      <w:r w:rsidR="006034C5">
        <w:t>and, failing to gain immediate support,</w:t>
      </w:r>
      <w:r w:rsidR="003A44E7">
        <w:t xml:space="preserve"> </w:t>
      </w:r>
      <w:r w:rsidR="00266CCC">
        <w:t>did not pursue its concern</w:t>
      </w:r>
      <w:r w:rsidR="003A44E7">
        <w:t>.</w:t>
      </w:r>
      <w:r w:rsidR="008C5F4E">
        <w:t xml:space="preserve"> It has </w:t>
      </w:r>
      <w:r w:rsidR="00E51B9A">
        <w:t xml:space="preserve">indeed </w:t>
      </w:r>
      <w:r w:rsidR="008C5F4E">
        <w:t xml:space="preserve">been up to others </w:t>
      </w:r>
      <w:r w:rsidR="00FE0052">
        <w:t xml:space="preserve">ever </w:t>
      </w:r>
      <w:r w:rsidR="008C5F4E">
        <w:t>since to</w:t>
      </w:r>
      <w:r w:rsidR="00E51B9A">
        <w:t xml:space="preserve"> try to</w:t>
      </w:r>
      <w:r w:rsidR="008C5F4E">
        <w:t xml:space="preserve"> set a clearer framework for decision-making on BIC.</w:t>
      </w:r>
    </w:p>
    <w:p w14:paraId="0B3D4C14" w14:textId="72766129" w:rsidR="000B1632" w:rsidRPr="00861BEE" w:rsidRDefault="00861BEE" w:rsidP="000B1632">
      <w:pPr>
        <w:rPr>
          <w:b/>
          <w:bCs/>
        </w:rPr>
      </w:pPr>
      <w:r w:rsidRPr="00861BEE">
        <w:rPr>
          <w:b/>
          <w:bCs/>
        </w:rPr>
        <w:t>… and then became a ‘’fundamental value’’</w:t>
      </w:r>
    </w:p>
    <w:p w14:paraId="09E3379A" w14:textId="298F79E5" w:rsidR="00EF0453" w:rsidRDefault="00982E39" w:rsidP="00EF0453">
      <w:r>
        <w:t xml:space="preserve">Despite </w:t>
      </w:r>
      <w:r w:rsidR="0000483E">
        <w:t xml:space="preserve">the lack of </w:t>
      </w:r>
      <w:r w:rsidR="008C143E">
        <w:t>serious debate</w:t>
      </w:r>
      <w:r w:rsidR="00F34333">
        <w:t>,</w:t>
      </w:r>
      <w:r w:rsidR="008C143E">
        <w:t xml:space="preserve"> during drafting</w:t>
      </w:r>
      <w:r w:rsidR="00F34333">
        <w:t>,</w:t>
      </w:r>
      <w:r w:rsidR="008C143E">
        <w:t xml:space="preserve"> </w:t>
      </w:r>
      <w:r w:rsidR="00801CDA">
        <w:t xml:space="preserve">on the implications of </w:t>
      </w:r>
      <w:r w:rsidR="000C3A2E">
        <w:t xml:space="preserve">incorporating such a broadly applicable yet </w:t>
      </w:r>
      <w:r w:rsidR="00230F21">
        <w:t xml:space="preserve">deliberately vague </w:t>
      </w:r>
      <w:r w:rsidR="00114507">
        <w:t xml:space="preserve">notion in a human rights treaty, </w:t>
      </w:r>
      <w:r w:rsidR="000D0505">
        <w:t>the “best interests” principle was</w:t>
      </w:r>
      <w:r w:rsidR="00864028">
        <w:t xml:space="preserve"> quickly</w:t>
      </w:r>
      <w:r w:rsidR="000D0505">
        <w:t xml:space="preserve"> </w:t>
      </w:r>
      <w:r w:rsidR="00B8695D">
        <w:t xml:space="preserve">to become </w:t>
      </w:r>
      <w:r w:rsidR="00864028">
        <w:t xml:space="preserve">a </w:t>
      </w:r>
      <w:r w:rsidR="00864028" w:rsidRPr="001C1FB3">
        <w:t>key</w:t>
      </w:r>
      <w:r w:rsidR="00864028">
        <w:t xml:space="preserve"> </w:t>
      </w:r>
      <w:r w:rsidR="00092321">
        <w:t>focus of attention</w:t>
      </w:r>
      <w:r w:rsidR="004115C7">
        <w:t xml:space="preserve"> for implementation.</w:t>
      </w:r>
      <w:r w:rsidR="0006064F">
        <w:t xml:space="preserve"> Its </w:t>
      </w:r>
      <w:r w:rsidR="001C1FB3">
        <w:t>special</w:t>
      </w:r>
      <w:r w:rsidR="00643D01">
        <w:t xml:space="preserve"> status was sealed at the first meeting of the CRC Committee</w:t>
      </w:r>
      <w:r w:rsidR="00064DC1">
        <w:t xml:space="preserve"> in 1991</w:t>
      </w:r>
      <w:r w:rsidR="009C303E">
        <w:t xml:space="preserve">, which designated BIC as </w:t>
      </w:r>
      <w:r w:rsidR="001E0742">
        <w:t xml:space="preserve">one of four “General Principles” </w:t>
      </w:r>
      <w:r w:rsidR="00445A81">
        <w:t>underlying</w:t>
      </w:r>
      <w:r w:rsidR="001E0742">
        <w:t xml:space="preserve"> the treaty</w:t>
      </w:r>
      <w:r w:rsidR="00FE453A">
        <w:t xml:space="preserve">. </w:t>
      </w:r>
      <w:r w:rsidR="008957D6">
        <w:t xml:space="preserve">This designation was in fact </w:t>
      </w:r>
      <w:r w:rsidR="00066FAD">
        <w:t xml:space="preserve">made in the context of </w:t>
      </w:r>
      <w:r w:rsidR="00AE1C64">
        <w:t>draw</w:t>
      </w:r>
      <w:r w:rsidR="00FA3931">
        <w:t>ing</w:t>
      </w:r>
      <w:r w:rsidR="00AE1C64">
        <w:t xml:space="preserve"> up an outline of </w:t>
      </w:r>
      <w:r w:rsidR="00443CE6">
        <w:t xml:space="preserve">the Initial Report that States Parties to the CRC would have to </w:t>
      </w:r>
      <w:r w:rsidR="007A6915">
        <w:t>submit to the Committee</w:t>
      </w:r>
      <w:r w:rsidR="0091607B">
        <w:t>. However, it very rapidly took on a far wider</w:t>
      </w:r>
      <w:r w:rsidR="008C5259">
        <w:t xml:space="preserve"> significance</w:t>
      </w:r>
      <w:r w:rsidR="006F77F8">
        <w:t>, being perceived</w:t>
      </w:r>
      <w:r w:rsidR="00103B2D">
        <w:t xml:space="preserve"> – in my view wrongly –</w:t>
      </w:r>
      <w:r w:rsidR="006F77F8">
        <w:t xml:space="preserve"> as a kind of super-right </w:t>
      </w:r>
      <w:r w:rsidR="003F4407">
        <w:t>to which reference had to be made</w:t>
      </w:r>
      <w:r w:rsidR="0076090F">
        <w:t xml:space="preserve"> </w:t>
      </w:r>
      <w:r w:rsidR="003F4407">
        <w:t xml:space="preserve">in virtually all </w:t>
      </w:r>
      <w:r w:rsidR="0039270A">
        <w:t xml:space="preserve">circumstances </w:t>
      </w:r>
      <w:r w:rsidR="00861C2F">
        <w:t xml:space="preserve">where the </w:t>
      </w:r>
      <w:r w:rsidR="00242679">
        <w:t>“</w:t>
      </w:r>
      <w:r w:rsidR="00861C2F">
        <w:t>rights of the child” were at stake.</w:t>
      </w:r>
    </w:p>
    <w:p w14:paraId="247D4784" w14:textId="4D0198D0" w:rsidR="00750FE9" w:rsidRDefault="00750FE9" w:rsidP="00EF0453">
      <w:r>
        <w:t xml:space="preserve">Although </w:t>
      </w:r>
      <w:r w:rsidR="00960999">
        <w:t xml:space="preserve">the application of </w:t>
      </w:r>
      <w:r w:rsidR="00FD267B">
        <w:t xml:space="preserve">BIC </w:t>
      </w:r>
      <w:r w:rsidR="00960999">
        <w:t xml:space="preserve">was the cause of much confusion </w:t>
      </w:r>
      <w:r w:rsidR="00DC6A11">
        <w:t>–</w:t>
      </w:r>
      <w:r w:rsidR="00960999">
        <w:t xml:space="preserve"> </w:t>
      </w:r>
      <w:r w:rsidR="00DC6A11">
        <w:t xml:space="preserve">particularly </w:t>
      </w:r>
      <w:r w:rsidR="005D661C">
        <w:t>over responsibilities and</w:t>
      </w:r>
      <w:r w:rsidR="00A72E27">
        <w:t xml:space="preserve"> the</w:t>
      </w:r>
      <w:r w:rsidR="005D661C">
        <w:t xml:space="preserve"> </w:t>
      </w:r>
      <w:r w:rsidR="00A72E27">
        <w:t xml:space="preserve">criteria to be employed </w:t>
      </w:r>
      <w:r w:rsidR="00DA340B">
        <w:t>–</w:t>
      </w:r>
      <w:r w:rsidR="00A72E27">
        <w:t xml:space="preserve"> </w:t>
      </w:r>
      <w:r w:rsidR="00DA340B">
        <w:t xml:space="preserve">it took over 20 years for the Committee to </w:t>
      </w:r>
      <w:r w:rsidR="00434E62">
        <w:t xml:space="preserve">try to clarify the issues. It did so </w:t>
      </w:r>
      <w:r w:rsidR="00DF1378">
        <w:t>in</w:t>
      </w:r>
      <w:r w:rsidR="00D34F00">
        <w:t xml:space="preserve"> 2013 through</w:t>
      </w:r>
      <w:r w:rsidR="00DF1378">
        <w:t xml:space="preserve"> its General Comment # 14</w:t>
      </w:r>
      <w:r w:rsidR="00A16AE1">
        <w:t>.</w:t>
      </w:r>
      <w:r w:rsidR="00A16AE1">
        <w:rPr>
          <w:rStyle w:val="Funotenzeichen"/>
        </w:rPr>
        <w:footnoteReference w:id="1"/>
      </w:r>
      <w:r w:rsidR="009E295B">
        <w:t xml:space="preserve"> </w:t>
      </w:r>
      <w:r w:rsidR="003B5E4D">
        <w:t xml:space="preserve">Therein it reemphasised </w:t>
      </w:r>
      <w:r w:rsidR="006C68EF">
        <w:t xml:space="preserve">its view of best interests as </w:t>
      </w:r>
      <w:r w:rsidR="00FB4995">
        <w:t>one of the</w:t>
      </w:r>
      <w:r w:rsidR="006C68EF">
        <w:t xml:space="preserve"> “</w:t>
      </w:r>
      <w:r w:rsidR="00433D50">
        <w:t>fundamental value</w:t>
      </w:r>
      <w:r w:rsidR="00FB4995">
        <w:t>s</w:t>
      </w:r>
      <w:r w:rsidR="00433D50">
        <w:t>” of the CRC</w:t>
      </w:r>
      <w:r w:rsidR="00FB4995">
        <w:t xml:space="preserve"> to be used</w:t>
      </w:r>
      <w:r w:rsidR="0094670B">
        <w:t xml:space="preserve"> “for interpreting and implementing all the rights of the child”</w:t>
      </w:r>
      <w:r w:rsidR="002D1151">
        <w:t xml:space="preserve">. </w:t>
      </w:r>
      <w:proofErr w:type="gramStart"/>
      <w:r w:rsidR="002D1151">
        <w:t>It</w:t>
      </w:r>
      <w:proofErr w:type="gramEnd"/>
      <w:r w:rsidR="0011526F">
        <w:t xml:space="preserve"> qualified </w:t>
      </w:r>
      <w:r w:rsidR="002D1151">
        <w:t>BIC</w:t>
      </w:r>
      <w:r w:rsidR="0011526F">
        <w:t xml:space="preserve"> </w:t>
      </w:r>
      <w:r w:rsidR="006C5348">
        <w:t>as</w:t>
      </w:r>
      <w:r w:rsidR="008D0BAF">
        <w:t xml:space="preserve"> “a right, a principle and a rule of procedure”</w:t>
      </w:r>
      <w:r w:rsidR="0035320D">
        <w:t>, and formally established its vital linkage to the child’s right to be heard (</w:t>
      </w:r>
      <w:r w:rsidR="00FF0E5E">
        <w:t>see above</w:t>
      </w:r>
      <w:r w:rsidR="0035320D">
        <w:t>)</w:t>
      </w:r>
      <w:r w:rsidR="008D0BAF">
        <w:t xml:space="preserve">. </w:t>
      </w:r>
      <w:r w:rsidR="006C68EF">
        <w:t xml:space="preserve"> </w:t>
      </w:r>
      <w:r w:rsidR="00CF0A7B">
        <w:t xml:space="preserve">The </w:t>
      </w:r>
      <w:r w:rsidR="00BA6290">
        <w:t>General Comment</w:t>
      </w:r>
      <w:r w:rsidR="00252783">
        <w:t xml:space="preserve"> </w:t>
      </w:r>
      <w:r w:rsidR="00906D3E">
        <w:t xml:space="preserve">not only </w:t>
      </w:r>
      <w:r w:rsidR="00252783">
        <w:t>set</w:t>
      </w:r>
      <w:r w:rsidR="00FE692B">
        <w:t>s</w:t>
      </w:r>
      <w:r w:rsidR="00252783">
        <w:t xml:space="preserve"> out</w:t>
      </w:r>
      <w:r w:rsidR="001C71B0">
        <w:t xml:space="preserve"> criteria to be considered</w:t>
      </w:r>
      <w:r w:rsidR="00EC4B42">
        <w:t xml:space="preserve"> </w:t>
      </w:r>
      <w:r w:rsidR="00906D3E">
        <w:t>but also</w:t>
      </w:r>
      <w:r w:rsidR="00EC4B42" w:rsidRPr="00EC4B42">
        <w:t xml:space="preserve"> </w:t>
      </w:r>
      <w:r w:rsidR="00EC4B42" w:rsidRPr="000B1632">
        <w:t>requires</w:t>
      </w:r>
      <w:r w:rsidR="00906D3E">
        <w:t>, among many other things,</w:t>
      </w:r>
      <w:r w:rsidR="00EC4B42" w:rsidRPr="000B1632">
        <w:t xml:space="preserve"> a rights-inspired </w:t>
      </w:r>
      <w:r w:rsidR="0000162C">
        <w:t>multi-</w:t>
      </w:r>
      <w:r w:rsidR="00EC4B42" w:rsidRPr="000B1632">
        <w:t>professional assessment</w:t>
      </w:r>
      <w:r w:rsidR="006168E2">
        <w:t xml:space="preserve"> and the</w:t>
      </w:r>
      <w:r w:rsidR="00EC4B42" w:rsidRPr="000B1632">
        <w:t xml:space="preserve"> avoid</w:t>
      </w:r>
      <w:r w:rsidR="006168E2">
        <w:t>ance of</w:t>
      </w:r>
      <w:r w:rsidR="00EC4B42" w:rsidRPr="000B1632">
        <w:t xml:space="preserve"> irrevocable decisions </w:t>
      </w:r>
      <w:r w:rsidR="00C20C8C">
        <w:t xml:space="preserve">based </w:t>
      </w:r>
      <w:r w:rsidR="00EC4B42" w:rsidRPr="000B1632">
        <w:t xml:space="preserve">on </w:t>
      </w:r>
      <w:r w:rsidR="00C20C8C">
        <w:t>a</w:t>
      </w:r>
      <w:r w:rsidR="00EC4B42" w:rsidRPr="000B1632">
        <w:t xml:space="preserve"> one-off determination</w:t>
      </w:r>
      <w:r w:rsidR="006A4633">
        <w:t>.</w:t>
      </w:r>
      <w:r w:rsidR="00356C01">
        <w:t xml:space="preserve"> </w:t>
      </w:r>
      <w:r w:rsidR="00A0533B">
        <w:t xml:space="preserve">These </w:t>
      </w:r>
      <w:r w:rsidR="006168E2">
        <w:t xml:space="preserve">requirements </w:t>
      </w:r>
      <w:r w:rsidR="00563571">
        <w:t>should</w:t>
      </w:r>
      <w:r w:rsidR="00A0533B">
        <w:t xml:space="preserve"> of course </w:t>
      </w:r>
      <w:r w:rsidR="002A6351">
        <w:t xml:space="preserve">be borne in mind </w:t>
      </w:r>
      <w:r w:rsidR="00DE33FD">
        <w:t xml:space="preserve">in the context of </w:t>
      </w:r>
      <w:r w:rsidR="00851402">
        <w:t>the present discussion.</w:t>
      </w:r>
    </w:p>
    <w:p w14:paraId="189213F7" w14:textId="798566E7" w:rsidR="0066313B" w:rsidRDefault="002B4420" w:rsidP="00EF0453">
      <w:r>
        <w:t>In the meantime, the</w:t>
      </w:r>
      <w:r w:rsidR="00264DD0">
        <w:t xml:space="preserve"> UNHCR had already </w:t>
      </w:r>
      <w:r w:rsidR="006B35FC">
        <w:t>acknowledged</w:t>
      </w:r>
      <w:r w:rsidR="006317FE">
        <w:t xml:space="preserve"> the usefulness of</w:t>
      </w:r>
      <w:r w:rsidR="0094188A">
        <w:t xml:space="preserve"> </w:t>
      </w:r>
      <w:r w:rsidR="00C04174">
        <w:t xml:space="preserve">enacting a “best interests” procedure </w:t>
      </w:r>
      <w:r w:rsidR="006E5243">
        <w:t xml:space="preserve">in its efforts to protect </w:t>
      </w:r>
      <w:r w:rsidR="006E5243" w:rsidRPr="000B1632">
        <w:t>unaccompanied</w:t>
      </w:r>
      <w:r w:rsidR="006E5243">
        <w:t xml:space="preserve"> and </w:t>
      </w:r>
      <w:r w:rsidR="006E5243" w:rsidRPr="000B1632">
        <w:t>separated children</w:t>
      </w:r>
      <w:r w:rsidR="006E5243">
        <w:t xml:space="preserve"> </w:t>
      </w:r>
      <w:r w:rsidR="00215791">
        <w:t>within its mandate</w:t>
      </w:r>
      <w:r w:rsidR="007B19DF">
        <w:t xml:space="preserve">. </w:t>
      </w:r>
      <w:r w:rsidR="00FE2C06">
        <w:t>Five years previously</w:t>
      </w:r>
      <w:r w:rsidR="007C2011">
        <w:t>, in 2008, it</w:t>
      </w:r>
      <w:r w:rsidR="005A37C8">
        <w:t xml:space="preserve"> had</w:t>
      </w:r>
      <w:r w:rsidR="007C2011">
        <w:t xml:space="preserve"> published its</w:t>
      </w:r>
      <w:r w:rsidR="007C2011" w:rsidRPr="007C2011">
        <w:t xml:space="preserve"> </w:t>
      </w:r>
      <w:r w:rsidR="007C2011">
        <w:t xml:space="preserve">Guidelines on Determining the Best Interests of the Child, followed </w:t>
      </w:r>
      <w:r w:rsidR="00E2573B">
        <w:t xml:space="preserve">in </w:t>
      </w:r>
      <w:r w:rsidR="007C2011">
        <w:t xml:space="preserve">2011 </w:t>
      </w:r>
      <w:r w:rsidR="00E2573B">
        <w:t xml:space="preserve">by the </w:t>
      </w:r>
      <w:r w:rsidR="007C2011">
        <w:t>Field Handbook for the Implementation of UNHCR BID Guidelines</w:t>
      </w:r>
      <w:r w:rsidR="00861C69">
        <w:t xml:space="preserve">. </w:t>
      </w:r>
      <w:r w:rsidR="00E2573B">
        <w:t xml:space="preserve">These </w:t>
      </w:r>
      <w:r w:rsidR="00E97042">
        <w:t xml:space="preserve">documents, </w:t>
      </w:r>
      <w:r w:rsidR="003C2F4B">
        <w:t>both</w:t>
      </w:r>
      <w:r w:rsidR="00162779">
        <w:t xml:space="preserve"> now</w:t>
      </w:r>
      <w:r w:rsidR="003C2F4B">
        <w:t xml:space="preserve"> </w:t>
      </w:r>
      <w:r w:rsidR="00E97042">
        <w:t>supplanted by the</w:t>
      </w:r>
      <w:r w:rsidR="00583DE2">
        <w:t xml:space="preserve"> organisation’s</w:t>
      </w:r>
      <w:r w:rsidR="00CA1A89">
        <w:t xml:space="preserve"> 2021 Best Interests Procedure Guidelines</w:t>
      </w:r>
      <w:r w:rsidR="003C2F4B">
        <w:t xml:space="preserve">, </w:t>
      </w:r>
      <w:r w:rsidR="00476240">
        <w:t xml:space="preserve">have </w:t>
      </w:r>
      <w:r w:rsidR="00F46F91">
        <w:t>since</w:t>
      </w:r>
      <w:r w:rsidR="00DE2E79">
        <w:t xml:space="preserve"> </w:t>
      </w:r>
      <w:r w:rsidR="003C2F4B">
        <w:t>inspire</w:t>
      </w:r>
      <w:r w:rsidR="00476240">
        <w:t>d</w:t>
      </w:r>
      <w:r w:rsidR="003C2F4B">
        <w:t xml:space="preserve"> practice in favour of </w:t>
      </w:r>
      <w:r w:rsidR="006A1D72">
        <w:t xml:space="preserve">other groups of </w:t>
      </w:r>
      <w:r w:rsidR="00331C16">
        <w:t xml:space="preserve">children </w:t>
      </w:r>
      <w:r w:rsidR="004D60BB">
        <w:t>not covered by</w:t>
      </w:r>
      <w:r w:rsidR="00B02CCD">
        <w:t xml:space="preserve"> UNHC</w:t>
      </w:r>
      <w:r w:rsidR="00815138">
        <w:t>R</w:t>
      </w:r>
      <w:r w:rsidR="00CE7DC9">
        <w:t>’s specific</w:t>
      </w:r>
      <w:r w:rsidR="00B02CCD">
        <w:t xml:space="preserve"> </w:t>
      </w:r>
      <w:r w:rsidR="00815138">
        <w:t>mandate</w:t>
      </w:r>
      <w:r w:rsidR="00B02CCD">
        <w:t>.</w:t>
      </w:r>
    </w:p>
    <w:p w14:paraId="7A33D2C4" w14:textId="62E4CF47" w:rsidR="009D4EC5" w:rsidRDefault="00061277" w:rsidP="00EF0453">
      <w:proofErr w:type="gramStart"/>
      <w:r>
        <w:t>Thus</w:t>
      </w:r>
      <w:proofErr w:type="gramEnd"/>
      <w:r>
        <w:t xml:space="preserve"> it is clear that</w:t>
      </w:r>
      <w:r w:rsidR="009D4EC5">
        <w:t xml:space="preserve"> </w:t>
      </w:r>
      <w:r w:rsidR="008A685A">
        <w:t>the question of best interests determination is</w:t>
      </w:r>
      <w:r w:rsidR="0099526A">
        <w:t xml:space="preserve"> seen </w:t>
      </w:r>
      <w:r w:rsidR="006C03C0">
        <w:t>as</w:t>
      </w:r>
      <w:r w:rsidR="008A685A">
        <w:t xml:space="preserve"> </w:t>
      </w:r>
      <w:r w:rsidR="00635189">
        <w:t>particular</w:t>
      </w:r>
      <w:r w:rsidR="007063EF">
        <w:t>ly</w:t>
      </w:r>
      <w:r w:rsidR="008A685A">
        <w:t xml:space="preserve"> importan</w:t>
      </w:r>
      <w:r w:rsidR="007063EF">
        <w:t>t</w:t>
      </w:r>
      <w:r w:rsidR="008A685A">
        <w:t xml:space="preserve"> when it comes to children </w:t>
      </w:r>
      <w:r w:rsidR="00090B58">
        <w:t>moving across borders.</w:t>
      </w:r>
    </w:p>
    <w:p w14:paraId="1AC34B44" w14:textId="5F93038F" w:rsidR="000B1632" w:rsidRPr="000529B5" w:rsidRDefault="000529B5" w:rsidP="000B1632">
      <w:pPr>
        <w:rPr>
          <w:b/>
          <w:bCs/>
        </w:rPr>
      </w:pPr>
      <w:r>
        <w:rPr>
          <w:b/>
          <w:bCs/>
        </w:rPr>
        <w:lastRenderedPageBreak/>
        <w:t>W</w:t>
      </w:r>
      <w:r w:rsidRPr="000529B5">
        <w:rPr>
          <w:b/>
          <w:bCs/>
        </w:rPr>
        <w:t xml:space="preserve">hen </w:t>
      </w:r>
      <w:r>
        <w:rPr>
          <w:b/>
          <w:bCs/>
        </w:rPr>
        <w:t>BIC</w:t>
      </w:r>
      <w:r w:rsidRPr="000529B5">
        <w:rPr>
          <w:b/>
          <w:bCs/>
        </w:rPr>
        <w:t xml:space="preserve"> is to be the determining factor</w:t>
      </w:r>
    </w:p>
    <w:p w14:paraId="553CD81E" w14:textId="2190DC2F" w:rsidR="000B1632" w:rsidRPr="000B1632" w:rsidRDefault="00FE294A" w:rsidP="00683A16">
      <w:r>
        <w:t>Under international law, d</w:t>
      </w:r>
      <w:r w:rsidR="0023726B">
        <w:t xml:space="preserve">etermining the best interests of a child does not mean that </w:t>
      </w:r>
      <w:r w:rsidR="001124AA">
        <w:t>those interests will</w:t>
      </w:r>
      <w:r w:rsidR="00DA117D">
        <w:t xml:space="preserve"> </w:t>
      </w:r>
      <w:r w:rsidR="00B21A41">
        <w:t>uniquely</w:t>
      </w:r>
      <w:r w:rsidR="00251A55">
        <w:t xml:space="preserve"> </w:t>
      </w:r>
      <w:r w:rsidR="004B4087">
        <w:t>underpin</w:t>
      </w:r>
      <w:r w:rsidR="001124AA">
        <w:t xml:space="preserve"> </w:t>
      </w:r>
      <w:r w:rsidR="00AD7197">
        <w:t>the decision reached</w:t>
      </w:r>
      <w:r w:rsidR="00C4300E">
        <w:t xml:space="preserve">. </w:t>
      </w:r>
      <w:r w:rsidR="005043BC">
        <w:t>T</w:t>
      </w:r>
      <w:r w:rsidR="001B508F">
        <w:t>here are</w:t>
      </w:r>
      <w:r w:rsidR="000B1632" w:rsidRPr="000B1632">
        <w:t xml:space="preserve"> two facets </w:t>
      </w:r>
      <w:r w:rsidR="001B59C7">
        <w:t>to</w:t>
      </w:r>
      <w:r w:rsidR="000B1632" w:rsidRPr="000B1632">
        <w:t xml:space="preserve"> implementing BIC:</w:t>
      </w:r>
      <w:r w:rsidR="001B508F">
        <w:t xml:space="preserve"> </w:t>
      </w:r>
      <w:r w:rsidR="00295D8C">
        <w:t xml:space="preserve">not just </w:t>
      </w:r>
      <w:r w:rsidR="006D341E">
        <w:t xml:space="preserve">decision-making </w:t>
      </w:r>
      <w:r w:rsidR="00C21FD7">
        <w:t>on the</w:t>
      </w:r>
      <w:r w:rsidR="000B1632" w:rsidRPr="00C21FD7">
        <w:t xml:space="preserve"> most appropriate measure</w:t>
      </w:r>
      <w:r w:rsidR="00C21FD7">
        <w:t xml:space="preserve"> to </w:t>
      </w:r>
      <w:r w:rsidR="00817CEA">
        <w:t xml:space="preserve">pursue, </w:t>
      </w:r>
      <w:r w:rsidR="00295D8C">
        <w:t>but also</w:t>
      </w:r>
      <w:r w:rsidR="00817CEA">
        <w:t xml:space="preserve"> the status of the </w:t>
      </w:r>
      <w:r w:rsidR="00FF4855">
        <w:t>child’s best interests</w:t>
      </w:r>
      <w:r w:rsidR="00817CEA">
        <w:t xml:space="preserve"> vis-à-vis </w:t>
      </w:r>
      <w:r w:rsidR="000B1632" w:rsidRPr="000B1632">
        <w:t>th</w:t>
      </w:r>
      <w:r w:rsidR="00FF4855">
        <w:t>ose</w:t>
      </w:r>
      <w:r w:rsidR="000B1632" w:rsidRPr="000B1632">
        <w:t xml:space="preserve"> of other parties</w:t>
      </w:r>
      <w:r w:rsidR="00683A16">
        <w:t xml:space="preserve"> concerned</w:t>
      </w:r>
      <w:r w:rsidR="00580D4C">
        <w:t xml:space="preserve"> – wh</w:t>
      </w:r>
      <w:r w:rsidR="007E565E">
        <w:t>o</w:t>
      </w:r>
      <w:r w:rsidR="00580D4C">
        <w:t xml:space="preserve"> may </w:t>
      </w:r>
      <w:r w:rsidR="007E565E">
        <w:t>range</w:t>
      </w:r>
      <w:r w:rsidR="00580D4C">
        <w:t xml:space="preserve"> </w:t>
      </w:r>
      <w:r w:rsidR="007E565E">
        <w:t xml:space="preserve">from </w:t>
      </w:r>
      <w:r w:rsidR="00580D4C">
        <w:t>parents</w:t>
      </w:r>
      <w:r w:rsidR="007E565E">
        <w:t xml:space="preserve"> to the State itself</w:t>
      </w:r>
      <w:r w:rsidR="00683A16">
        <w:t>.</w:t>
      </w:r>
    </w:p>
    <w:p w14:paraId="1A3BE472" w14:textId="71ACF420" w:rsidR="000B1632" w:rsidRPr="00481E58" w:rsidRDefault="00E32341" w:rsidP="00481E58">
      <w:r>
        <w:t>In the great majority of cases</w:t>
      </w:r>
      <w:r w:rsidR="00A415EB">
        <w:t xml:space="preserve">, </w:t>
      </w:r>
      <w:r w:rsidR="000B1632" w:rsidRPr="00481E58">
        <w:t xml:space="preserve">BIC </w:t>
      </w:r>
      <w:r w:rsidR="00481E58" w:rsidRPr="00481E58">
        <w:t xml:space="preserve">is </w:t>
      </w:r>
      <w:r w:rsidR="00A415EB" w:rsidRPr="00481E58">
        <w:t>a “primary consideration”</w:t>
      </w:r>
      <w:r w:rsidR="00560907">
        <w:t xml:space="preserve"> in dec</w:t>
      </w:r>
      <w:r w:rsidR="00FB35D4">
        <w:t>ision-making</w:t>
      </w:r>
      <w:r w:rsidR="00947FEF">
        <w:t xml:space="preserve"> but </w:t>
      </w:r>
      <w:r w:rsidR="00FB35D4">
        <w:t>not the only one. O</w:t>
      </w:r>
      <w:r w:rsidR="00953EF8">
        <w:t>n certain issues</w:t>
      </w:r>
      <w:r w:rsidR="00FB35D4">
        <w:t>, however</w:t>
      </w:r>
      <w:r w:rsidR="00953EF8">
        <w:t xml:space="preserve"> – mainly </w:t>
      </w:r>
      <w:r w:rsidR="00442C4D">
        <w:t xml:space="preserve">involving family and care questions – it </w:t>
      </w:r>
      <w:r w:rsidR="000379FF">
        <w:t>is the</w:t>
      </w:r>
      <w:r w:rsidR="0074268A">
        <w:t xml:space="preserve"> </w:t>
      </w:r>
      <w:r w:rsidR="000B1632" w:rsidRPr="00481E58">
        <w:t>determin</w:t>
      </w:r>
      <w:r w:rsidR="00FD2011">
        <w:t>ing factor</w:t>
      </w:r>
      <w:r w:rsidR="00BD2C87">
        <w:t>.</w:t>
      </w:r>
    </w:p>
    <w:p w14:paraId="5F995C9E" w14:textId="58E38B83" w:rsidR="000B1632" w:rsidRPr="000B1632" w:rsidRDefault="003A2C98" w:rsidP="003A468E">
      <w:r>
        <w:t>While i</w:t>
      </w:r>
      <w:r w:rsidR="001032BE">
        <w:t xml:space="preserve">t is </w:t>
      </w:r>
      <w:r w:rsidR="000B1632" w:rsidRPr="00BD2C87">
        <w:t>explicitly</w:t>
      </w:r>
      <w:r w:rsidR="00567A22">
        <w:t xml:space="preserve"> “</w:t>
      </w:r>
      <w:r w:rsidR="000B1632" w:rsidRPr="00544B1B">
        <w:rPr>
          <w:b/>
          <w:bCs/>
          <w:i/>
          <w:iCs/>
        </w:rPr>
        <w:t>the paramount</w:t>
      </w:r>
      <w:r w:rsidR="000B1632" w:rsidRPr="00BD2C87">
        <w:t xml:space="preserve"> consideration</w:t>
      </w:r>
      <w:r w:rsidR="00567A22">
        <w:t>”</w:t>
      </w:r>
      <w:r w:rsidR="001032BE">
        <w:t xml:space="preserve"> </w:t>
      </w:r>
      <w:r w:rsidR="00567A22">
        <w:t xml:space="preserve">only in </w:t>
      </w:r>
      <w:r w:rsidR="002D5831">
        <w:t xml:space="preserve">decisions concerning </w:t>
      </w:r>
      <w:r w:rsidR="00775022">
        <w:t xml:space="preserve">domestic and intercountry </w:t>
      </w:r>
      <w:r w:rsidR="002D5831">
        <w:t>adoption (CRC Art 21</w:t>
      </w:r>
      <w:r w:rsidR="00694A20">
        <w:t>)</w:t>
      </w:r>
      <w:r w:rsidR="007068B8">
        <w:t>,</w:t>
      </w:r>
      <w:r w:rsidR="00694A20">
        <w:t xml:space="preserve"> </w:t>
      </w:r>
      <w:r w:rsidR="007068B8">
        <w:t>it</w:t>
      </w:r>
      <w:r w:rsidR="00434FD2">
        <w:t xml:space="preserve"> is also implicitly </w:t>
      </w:r>
      <w:r w:rsidR="00FD4CC2">
        <w:t>determinant in relation to other care measures</w:t>
      </w:r>
      <w:r w:rsidR="00021DB1">
        <w:t>.</w:t>
      </w:r>
      <w:r w:rsidR="003A468E">
        <w:t xml:space="preserve"> Thus, </w:t>
      </w:r>
      <w:r w:rsidR="00F54EA5">
        <w:t xml:space="preserve">for example, </w:t>
      </w:r>
      <w:r w:rsidR="003A468E">
        <w:t>a</w:t>
      </w:r>
      <w:r w:rsidR="000B1632" w:rsidRPr="000B1632">
        <w:t xml:space="preserve">lternative care </w:t>
      </w:r>
      <w:r w:rsidR="003A468E">
        <w:t xml:space="preserve">must be ensured </w:t>
      </w:r>
      <w:r w:rsidR="00285FFC">
        <w:t xml:space="preserve">in cases where children </w:t>
      </w:r>
      <w:r w:rsidR="009614AA">
        <w:t>“in [their] own best interests</w:t>
      </w:r>
      <w:r w:rsidR="003A468E">
        <w:t xml:space="preserve"> </w:t>
      </w:r>
      <w:r w:rsidR="000B1632" w:rsidRPr="000B1632">
        <w:t>cannot be allowed to remain</w:t>
      </w:r>
      <w:r w:rsidR="005F1FD0">
        <w:t>”</w:t>
      </w:r>
      <w:r w:rsidR="000B1632" w:rsidRPr="000B1632">
        <w:t xml:space="preserve"> </w:t>
      </w:r>
      <w:r w:rsidR="005D3DE4">
        <w:t>in</w:t>
      </w:r>
      <w:r w:rsidR="00BF4247">
        <w:t xml:space="preserve"> their</w:t>
      </w:r>
      <w:r w:rsidR="000B1632" w:rsidRPr="000B1632">
        <w:t xml:space="preserve"> family</w:t>
      </w:r>
      <w:r w:rsidR="005D3DE4">
        <w:t xml:space="preserve"> </w:t>
      </w:r>
      <w:r w:rsidR="005E1A71">
        <w:t>environment</w:t>
      </w:r>
      <w:r w:rsidR="00A01297">
        <w:t xml:space="preserve"> (CRC Art 2</w:t>
      </w:r>
      <w:r w:rsidR="00261CD2">
        <w:t>0</w:t>
      </w:r>
      <w:r w:rsidR="00A01297">
        <w:t>)</w:t>
      </w:r>
      <w:r w:rsidR="005E1A71">
        <w:t>.</w:t>
      </w:r>
      <w:r w:rsidR="00577D14">
        <w:t xml:space="preserve"> The deliberate separation of</w:t>
      </w:r>
      <w:r w:rsidR="00AF0E41">
        <w:t xml:space="preserve"> </w:t>
      </w:r>
      <w:r w:rsidR="002374B5">
        <w:t xml:space="preserve">a </w:t>
      </w:r>
      <w:r w:rsidR="00AF0E41">
        <w:t xml:space="preserve">child from their parents </w:t>
      </w:r>
      <w:r w:rsidR="002374B5">
        <w:t>may only take place</w:t>
      </w:r>
      <w:r w:rsidR="00531099">
        <w:t xml:space="preserve"> when</w:t>
      </w:r>
      <w:r w:rsidR="002374B5">
        <w:t xml:space="preserve"> “</w:t>
      </w:r>
      <w:r w:rsidR="002374B5" w:rsidRPr="000B1632">
        <w:t>necessary</w:t>
      </w:r>
      <w:r w:rsidR="00531099">
        <w:t xml:space="preserve"> for</w:t>
      </w:r>
      <w:r w:rsidR="002374B5" w:rsidRPr="000B1632">
        <w:t xml:space="preserve"> </w:t>
      </w:r>
      <w:r w:rsidR="002374B5">
        <w:t xml:space="preserve">the best </w:t>
      </w:r>
      <w:r w:rsidR="00CE6BAB">
        <w:t>interests</w:t>
      </w:r>
      <w:r w:rsidR="00CD5E2A">
        <w:t xml:space="preserve"> of the child”</w:t>
      </w:r>
      <w:r w:rsidR="00CE6BAB">
        <w:t xml:space="preserve"> (CRC Art. 9</w:t>
      </w:r>
      <w:r w:rsidR="00CD5E2A">
        <w:t>.1</w:t>
      </w:r>
      <w:r w:rsidR="00CE6BAB">
        <w:t>)</w:t>
      </w:r>
      <w:r w:rsidR="008D728D">
        <w:t>,</w:t>
      </w:r>
      <w:r w:rsidR="003E15FA">
        <w:t xml:space="preserve"> and</w:t>
      </w:r>
      <w:r w:rsidR="008D728D">
        <w:t xml:space="preserve"> a child se</w:t>
      </w:r>
      <w:r w:rsidR="004846D6">
        <w:t>parated from their parents has the right to maintain c</w:t>
      </w:r>
      <w:r w:rsidR="002B2A90">
        <w:t>ontact with both “</w:t>
      </w:r>
      <w:r w:rsidR="006C64FD">
        <w:t>except</w:t>
      </w:r>
      <w:r w:rsidR="002B2A90">
        <w:t xml:space="preserve"> if it is contrary to the child’s best interests” (CRC Art. 9</w:t>
      </w:r>
      <w:r w:rsidR="00AE23BF">
        <w:t>.3).</w:t>
      </w:r>
    </w:p>
    <w:p w14:paraId="4B9AA299" w14:textId="77777777" w:rsidR="00B601C5" w:rsidRDefault="002C661E" w:rsidP="00EB6779">
      <w:r>
        <w:t>Two</w:t>
      </w:r>
      <w:r w:rsidR="001E45D4" w:rsidRPr="001E45D4">
        <w:t xml:space="preserve"> other</w:t>
      </w:r>
      <w:r w:rsidR="00BF5B64">
        <w:t xml:space="preserve"> general</w:t>
      </w:r>
      <w:r w:rsidR="000B1632" w:rsidRPr="001E45D4">
        <w:t xml:space="preserve"> </w:t>
      </w:r>
      <w:r w:rsidR="00C84769">
        <w:t>requirements</w:t>
      </w:r>
      <w:r w:rsidR="000B1632" w:rsidRPr="001E45D4">
        <w:t xml:space="preserve"> </w:t>
      </w:r>
      <w:r w:rsidR="00C84769">
        <w:t xml:space="preserve">– </w:t>
      </w:r>
      <w:r w:rsidR="00FF255C">
        <w:t xml:space="preserve">the </w:t>
      </w:r>
      <w:r w:rsidR="000B1632" w:rsidRPr="000B1632">
        <w:t>separation</w:t>
      </w:r>
      <w:r w:rsidR="00FF255C">
        <w:t xml:space="preserve"> of children</w:t>
      </w:r>
      <w:r w:rsidR="000B1632" w:rsidRPr="000B1632">
        <w:t xml:space="preserve"> from adults in detention</w:t>
      </w:r>
      <w:r w:rsidR="007628C2">
        <w:t xml:space="preserve"> (CRC Art</w:t>
      </w:r>
      <w:r w:rsidR="00EF35A8">
        <w:t>. 37.c)</w:t>
      </w:r>
      <w:r w:rsidR="000B1632" w:rsidRPr="000B1632">
        <w:t xml:space="preserve"> </w:t>
      </w:r>
      <w:r w:rsidR="00FF255C">
        <w:t>and the</w:t>
      </w:r>
      <w:r w:rsidR="000B1632" w:rsidRPr="000B1632">
        <w:t xml:space="preserve"> presence of parents in court</w:t>
      </w:r>
      <w:r w:rsidR="00C84769">
        <w:t xml:space="preserve"> </w:t>
      </w:r>
      <w:r w:rsidR="00623E21">
        <w:t>(CRC Art. 40.</w:t>
      </w:r>
      <w:r w:rsidR="008657D6">
        <w:t>2.b.iii</w:t>
      </w:r>
      <w:r w:rsidR="00BF5B64">
        <w:t xml:space="preserve">) </w:t>
      </w:r>
      <w:r w:rsidR="00C84769">
        <w:t>– are also subjec</w:t>
      </w:r>
      <w:r w:rsidR="00D027EA">
        <w:t xml:space="preserve">t to exceptions based </w:t>
      </w:r>
      <w:r w:rsidR="003F4045">
        <w:t xml:space="preserve">on the best interests of the child concerned. </w:t>
      </w:r>
    </w:p>
    <w:p w14:paraId="55C66353" w14:textId="156A8972" w:rsidR="000B1632" w:rsidRPr="000B1632" w:rsidRDefault="003F4045" w:rsidP="00EB6779">
      <w:r>
        <w:t>But i</w:t>
      </w:r>
      <w:r w:rsidR="00EB6779">
        <w:t>n</w:t>
      </w:r>
      <w:r w:rsidR="000B1632" w:rsidRPr="000B1632">
        <w:t xml:space="preserve"> all other circumstances</w:t>
      </w:r>
      <w:r w:rsidR="001D0886">
        <w:t xml:space="preserve"> </w:t>
      </w:r>
      <w:r w:rsidR="008F44C9">
        <w:t xml:space="preserve">explicitly </w:t>
      </w:r>
      <w:r w:rsidR="001D0886">
        <w:t>dealt with in the CRC</w:t>
      </w:r>
      <w:r w:rsidR="00F4768C">
        <w:t xml:space="preserve"> </w:t>
      </w:r>
      <w:r w:rsidR="00D003C9">
        <w:t>–</w:t>
      </w:r>
      <w:r w:rsidR="00F4768C">
        <w:t xml:space="preserve"> </w:t>
      </w:r>
      <w:r w:rsidR="00D003C9">
        <w:t xml:space="preserve">thus including children moving across borders, save </w:t>
      </w:r>
      <w:r w:rsidR="006D74B8">
        <w:t>in the context of intercountry adoption –</w:t>
      </w:r>
      <w:r w:rsidR="000B1632" w:rsidRPr="000B1632">
        <w:t xml:space="preserve"> </w:t>
      </w:r>
      <w:r w:rsidR="001D3B4D" w:rsidRPr="00EB0F92">
        <w:t>the tre</w:t>
      </w:r>
      <w:r w:rsidR="00205183" w:rsidRPr="00EB0F92">
        <w:t xml:space="preserve">aty </w:t>
      </w:r>
      <w:r w:rsidR="0004583D" w:rsidRPr="00EB0F92">
        <w:t>looks on</w:t>
      </w:r>
      <w:r w:rsidR="00205183" w:rsidRPr="00EB0F92">
        <w:t xml:space="preserve"> </w:t>
      </w:r>
      <w:r w:rsidR="00690C8F" w:rsidRPr="00EB0F92">
        <w:t xml:space="preserve">BIC </w:t>
      </w:r>
      <w:r w:rsidR="000B1632" w:rsidRPr="00EB0F92">
        <w:t>in principle</w:t>
      </w:r>
      <w:r w:rsidR="00205183">
        <w:t xml:space="preserve"> as</w:t>
      </w:r>
      <w:r w:rsidR="000B1632" w:rsidRPr="000B1632">
        <w:t xml:space="preserve"> </w:t>
      </w:r>
      <w:r w:rsidR="00690C8F">
        <w:t>“</w:t>
      </w:r>
      <w:r w:rsidR="000B1632" w:rsidRPr="000B1632">
        <w:t>a primary consideration</w:t>
      </w:r>
      <w:r w:rsidR="00690C8F">
        <w:t>”, not the deciding factor as such.</w:t>
      </w:r>
      <w:r w:rsidR="00626541">
        <w:t xml:space="preserve"> </w:t>
      </w:r>
    </w:p>
    <w:p w14:paraId="7DD97141" w14:textId="3AB61FD2" w:rsidR="000B1632" w:rsidRPr="00142959" w:rsidRDefault="000B1632" w:rsidP="000B1632">
      <w:pPr>
        <w:rPr>
          <w:b/>
          <w:bCs/>
        </w:rPr>
      </w:pPr>
      <w:r w:rsidRPr="00142959">
        <w:rPr>
          <w:b/>
          <w:bCs/>
        </w:rPr>
        <w:t xml:space="preserve">BIC </w:t>
      </w:r>
      <w:r w:rsidR="00142959" w:rsidRPr="00142959">
        <w:rPr>
          <w:b/>
          <w:bCs/>
        </w:rPr>
        <w:t>in diverse cross-border situations…</w:t>
      </w:r>
    </w:p>
    <w:p w14:paraId="5F50D024" w14:textId="26511FFB" w:rsidR="00343332" w:rsidRDefault="008B475E" w:rsidP="00343332">
      <w:r>
        <w:t xml:space="preserve">It is against this background </w:t>
      </w:r>
      <w:r w:rsidR="00AC52E3">
        <w:t xml:space="preserve">that we have to approach </w:t>
      </w:r>
      <w:r w:rsidR="009076C3">
        <w:t xml:space="preserve">the implementation of children’s right to </w:t>
      </w:r>
      <w:r w:rsidR="00E328FB">
        <w:t xml:space="preserve">have their best interests </w:t>
      </w:r>
      <w:r w:rsidR="00D371D5">
        <w:t>duly considered when they move across borders.</w:t>
      </w:r>
    </w:p>
    <w:p w14:paraId="50F0CE56" w14:textId="675EC4EB" w:rsidR="00ED1F59" w:rsidRDefault="00263DCB" w:rsidP="00343332">
      <w:r>
        <w:t xml:space="preserve">There are two </w:t>
      </w:r>
      <w:r w:rsidR="008C06AE">
        <w:t xml:space="preserve">main types of </w:t>
      </w:r>
      <w:r w:rsidR="00080B28">
        <w:t xml:space="preserve">cross-border </w:t>
      </w:r>
      <w:r w:rsidR="008C06AE">
        <w:t>circumstance</w:t>
      </w:r>
      <w:r w:rsidR="003F4A16">
        <w:t>s</w:t>
      </w:r>
      <w:r w:rsidR="008C06AE">
        <w:t xml:space="preserve"> </w:t>
      </w:r>
      <w:r w:rsidR="002839F5">
        <w:t xml:space="preserve">in which </w:t>
      </w:r>
      <w:r w:rsidR="001A7854">
        <w:t>an assessment of BIC is required.</w:t>
      </w:r>
    </w:p>
    <w:p w14:paraId="5C411D4D" w14:textId="17672C8D" w:rsidR="000B1632" w:rsidRDefault="001A7854" w:rsidP="006D1FF3">
      <w:r>
        <w:t>The firs</w:t>
      </w:r>
      <w:r w:rsidR="009878E1">
        <w:t xml:space="preserve">t is </w:t>
      </w:r>
      <w:r w:rsidR="000B1632" w:rsidRPr="00951562">
        <w:rPr>
          <w:b/>
          <w:bCs/>
          <w:i/>
          <w:iCs/>
        </w:rPr>
        <w:t>prior to</w:t>
      </w:r>
      <w:r w:rsidR="00BD4A48">
        <w:t xml:space="preserve"> a planned</w:t>
      </w:r>
      <w:r w:rsidR="00EB03FC">
        <w:t xml:space="preserve"> placement </w:t>
      </w:r>
      <w:r w:rsidR="00723282">
        <w:t xml:space="preserve">of the child </w:t>
      </w:r>
      <w:r w:rsidR="00EB03FC">
        <w:t>abroad</w:t>
      </w:r>
      <w:r w:rsidR="00723282">
        <w:t xml:space="preserve">. </w:t>
      </w:r>
      <w:r w:rsidR="00643826">
        <w:t xml:space="preserve">That </w:t>
      </w:r>
      <w:r w:rsidR="004722C6">
        <w:t>placement may take the form of</w:t>
      </w:r>
      <w:r w:rsidR="000B1632" w:rsidRPr="000B1632">
        <w:t xml:space="preserve"> </w:t>
      </w:r>
      <w:r w:rsidR="004722C6">
        <w:t>i</w:t>
      </w:r>
      <w:r w:rsidR="000B1632" w:rsidRPr="004722C6">
        <w:t>ntercountry adoption</w:t>
      </w:r>
      <w:r w:rsidR="006D1FF3">
        <w:t xml:space="preserve"> or o</w:t>
      </w:r>
      <w:r w:rsidR="000B1632" w:rsidRPr="000B1632">
        <w:t xml:space="preserve">ther long-term </w:t>
      </w:r>
      <w:r w:rsidR="00C06320">
        <w:t xml:space="preserve">alternative </w:t>
      </w:r>
      <w:r w:rsidR="000B1632" w:rsidRPr="000B1632">
        <w:t xml:space="preserve">care arrangements </w:t>
      </w:r>
      <w:r w:rsidR="00C06320">
        <w:t xml:space="preserve">including, for example, </w:t>
      </w:r>
      <w:proofErr w:type="spellStart"/>
      <w:r w:rsidR="00C06320" w:rsidRPr="00CF2CBB">
        <w:rPr>
          <w:i/>
          <w:iCs/>
        </w:rPr>
        <w:t>kafalah</w:t>
      </w:r>
      <w:proofErr w:type="spellEnd"/>
      <w:r w:rsidR="00C06320">
        <w:t xml:space="preserve"> of Islamic law</w:t>
      </w:r>
      <w:r w:rsidR="00C94DD4">
        <w:t xml:space="preserve">. In such cases, </w:t>
      </w:r>
      <w:r w:rsidR="00BF14F3">
        <w:t xml:space="preserve">those responsible for carrying </w:t>
      </w:r>
      <w:r w:rsidR="00663C1C">
        <w:t xml:space="preserve">out the </w:t>
      </w:r>
      <w:r w:rsidR="00871A71">
        <w:t xml:space="preserve">assessment and </w:t>
      </w:r>
      <w:r w:rsidR="00626663">
        <w:t>coming to a decision on that basis</w:t>
      </w:r>
      <w:r w:rsidR="008044F2">
        <w:t xml:space="preserve"> will invariably be located in the child’s country of origin</w:t>
      </w:r>
      <w:r w:rsidR="00317D7A">
        <w:t>. T</w:t>
      </w:r>
      <w:r w:rsidR="002D42D4">
        <w:t xml:space="preserve">o establish the </w:t>
      </w:r>
      <w:r w:rsidR="00F63D8D">
        <w:t xml:space="preserve">adoptability (or similar) </w:t>
      </w:r>
      <w:r w:rsidR="00C512EF">
        <w:t xml:space="preserve">of a child </w:t>
      </w:r>
      <w:r w:rsidR="007B3012">
        <w:t>abroad</w:t>
      </w:r>
      <w:r w:rsidR="00C512EF">
        <w:t>, t</w:t>
      </w:r>
      <w:r w:rsidR="00317D7A">
        <w:t xml:space="preserve">hey will have </w:t>
      </w:r>
      <w:r w:rsidR="00665457">
        <w:t xml:space="preserve">to evaluate the likelihood of the child’s </w:t>
      </w:r>
      <w:r w:rsidR="00E16F20">
        <w:t xml:space="preserve">best interests </w:t>
      </w:r>
      <w:r w:rsidR="00626C19">
        <w:t xml:space="preserve">potentially </w:t>
      </w:r>
      <w:r w:rsidR="00E16F20">
        <w:t xml:space="preserve">being </w:t>
      </w:r>
      <w:r w:rsidR="008346E5">
        <w:t xml:space="preserve">best </w:t>
      </w:r>
      <w:r w:rsidR="00E16F20">
        <w:t xml:space="preserve">served by removal </w:t>
      </w:r>
      <w:r w:rsidR="007450C2">
        <w:t xml:space="preserve">from a known situation </w:t>
      </w:r>
      <w:r w:rsidR="00E16F20">
        <w:t xml:space="preserve">to </w:t>
      </w:r>
      <w:r w:rsidR="00003FB2">
        <w:t xml:space="preserve">an </w:t>
      </w:r>
      <w:r w:rsidR="00F46E3F">
        <w:t xml:space="preserve">untested </w:t>
      </w:r>
      <w:r w:rsidR="003B764A">
        <w:t xml:space="preserve">and </w:t>
      </w:r>
      <w:r w:rsidR="00D9237E">
        <w:t xml:space="preserve">usually </w:t>
      </w:r>
      <w:r w:rsidR="003B764A">
        <w:t xml:space="preserve">unfamiliar </w:t>
      </w:r>
      <w:r w:rsidR="00003FB2">
        <w:t xml:space="preserve">environment </w:t>
      </w:r>
      <w:r w:rsidR="00D9237E">
        <w:t xml:space="preserve">about which only generalities </w:t>
      </w:r>
      <w:r w:rsidR="00810842">
        <w:t>may be</w:t>
      </w:r>
      <w:r w:rsidR="00060940">
        <w:t xml:space="preserve"> known</w:t>
      </w:r>
      <w:r w:rsidR="0019411D">
        <w:t xml:space="preserve"> at that stage.</w:t>
      </w:r>
      <w:r w:rsidR="009C5A54">
        <w:t xml:space="preserve"> This </w:t>
      </w:r>
      <w:r w:rsidR="00526C9A">
        <w:t>can</w:t>
      </w:r>
      <w:r w:rsidR="009C5A54">
        <w:t xml:space="preserve"> clearly </w:t>
      </w:r>
      <w:r w:rsidR="00526C9A">
        <w:t xml:space="preserve">be </w:t>
      </w:r>
      <w:r w:rsidR="00895279">
        <w:t>a highly delicate task.</w:t>
      </w:r>
    </w:p>
    <w:p w14:paraId="490E0743" w14:textId="3486156F" w:rsidR="000B1632" w:rsidRPr="000B1632" w:rsidRDefault="00CC32E8" w:rsidP="00BD55C4">
      <w:r>
        <w:t>The second type of circumstance</w:t>
      </w:r>
      <w:r w:rsidR="00F82BFD">
        <w:t xml:space="preserve"> – and</w:t>
      </w:r>
      <w:r w:rsidR="00A45024">
        <w:t xml:space="preserve"> obviously</w:t>
      </w:r>
      <w:r w:rsidR="00F82BFD">
        <w:t xml:space="preserve"> the essential focus of </w:t>
      </w:r>
      <w:r w:rsidR="005A47D3">
        <w:t>the above-mentioned UNHCR Guidelines –</w:t>
      </w:r>
      <w:r>
        <w:t xml:space="preserve"> </w:t>
      </w:r>
      <w:r w:rsidR="00DD38ED">
        <w:t xml:space="preserve">concerns </w:t>
      </w:r>
      <w:r w:rsidR="00104132">
        <w:t xml:space="preserve">a BIC assessment </w:t>
      </w:r>
      <w:r w:rsidR="00104132" w:rsidRPr="00BD55C4">
        <w:rPr>
          <w:b/>
          <w:bCs/>
          <w:i/>
          <w:iCs/>
        </w:rPr>
        <w:t>following</w:t>
      </w:r>
      <w:r w:rsidR="00104132">
        <w:t xml:space="preserve"> </w:t>
      </w:r>
      <w:r w:rsidR="009C1F04">
        <w:t>the</w:t>
      </w:r>
      <w:r w:rsidR="000B1632" w:rsidRPr="000B1632">
        <w:t xml:space="preserve"> </w:t>
      </w:r>
      <w:r w:rsidR="003862E2">
        <w:t xml:space="preserve">child’s </w:t>
      </w:r>
      <w:r w:rsidR="000B1632" w:rsidRPr="000B1632">
        <w:t xml:space="preserve">movement </w:t>
      </w:r>
      <w:r w:rsidR="00E44F97">
        <w:t>across borders.</w:t>
      </w:r>
      <w:r w:rsidR="001667EC">
        <w:t xml:space="preserve"> In addition to child refugees, asylum seekers and migrants</w:t>
      </w:r>
      <w:r w:rsidR="00E442C5">
        <w:t>, these situations include</w:t>
      </w:r>
      <w:r w:rsidR="003C57D2">
        <w:t xml:space="preserve"> child victims of trafficking or smuggling</w:t>
      </w:r>
      <w:r w:rsidR="00AC640F">
        <w:t xml:space="preserve"> and</w:t>
      </w:r>
      <w:r w:rsidR="00E442C5">
        <w:t xml:space="preserve"> </w:t>
      </w:r>
      <w:r w:rsidR="000E7C17">
        <w:t>the breakdown of adoption or other alternative care arrangements</w:t>
      </w:r>
      <w:r w:rsidR="004274E6">
        <w:t xml:space="preserve"> abroad</w:t>
      </w:r>
      <w:r w:rsidR="007B281B">
        <w:t>,</w:t>
      </w:r>
      <w:r w:rsidR="00D45DDD">
        <w:t xml:space="preserve"> a</w:t>
      </w:r>
      <w:r w:rsidR="007B281B">
        <w:t xml:space="preserve">s well as </w:t>
      </w:r>
      <w:r w:rsidR="0022691E">
        <w:t>family reunification claims</w:t>
      </w:r>
      <w:r w:rsidR="00AC640F">
        <w:t>.</w:t>
      </w:r>
      <w:r w:rsidR="00416BE7">
        <w:t xml:space="preserve"> In these cases</w:t>
      </w:r>
      <w:r w:rsidR="003473DF">
        <w:t xml:space="preserve">, assessment and decision-making fall to those responsible </w:t>
      </w:r>
      <w:r w:rsidR="003473DF">
        <w:lastRenderedPageBreak/>
        <w:t>in the country of dest</w:t>
      </w:r>
      <w:r w:rsidR="002D4E16">
        <w:t xml:space="preserve">ination </w:t>
      </w:r>
      <w:r w:rsidR="002D4E16" w:rsidRPr="00E057BE">
        <w:t>(or, sometimes, transit)</w:t>
      </w:r>
      <w:r w:rsidR="0049312E">
        <w:t>.</w:t>
      </w:r>
      <w:r w:rsidR="00493A64">
        <w:t xml:space="preserve"> </w:t>
      </w:r>
      <w:r w:rsidR="00676EC1">
        <w:t>As far as</w:t>
      </w:r>
      <w:r w:rsidR="0070493B">
        <w:t xml:space="preserve"> possible</w:t>
      </w:r>
      <w:r w:rsidR="00605CA7">
        <w:t xml:space="preserve"> and desirable </w:t>
      </w:r>
      <w:r w:rsidR="00AF58C0">
        <w:t>– unfortunately not always the case – this should take place</w:t>
      </w:r>
      <w:r w:rsidR="0070493B">
        <w:t xml:space="preserve"> in </w:t>
      </w:r>
      <w:r w:rsidR="009C057B">
        <w:t>c</w:t>
      </w:r>
      <w:r w:rsidR="0070493B">
        <w:t>onsultation</w:t>
      </w:r>
      <w:r w:rsidR="004A219E">
        <w:t xml:space="preserve"> </w:t>
      </w:r>
      <w:r w:rsidR="0070493B">
        <w:t xml:space="preserve">with </w:t>
      </w:r>
      <w:r w:rsidR="00AC54DA">
        <w:t xml:space="preserve">competent </w:t>
      </w:r>
      <w:r w:rsidR="0070493B">
        <w:t>autho</w:t>
      </w:r>
      <w:r w:rsidR="00543126">
        <w:t>rities in the child’s country of origin</w:t>
      </w:r>
      <w:r w:rsidR="009C057B">
        <w:t>. This</w:t>
      </w:r>
      <w:r w:rsidR="00924C20">
        <w:t xml:space="preserve"> is</w:t>
      </w:r>
      <w:r w:rsidR="009C057B">
        <w:t xml:space="preserve"> indeed</w:t>
      </w:r>
      <w:r w:rsidR="00C339B0">
        <w:t xml:space="preserve"> </w:t>
      </w:r>
      <w:r w:rsidR="008745E0">
        <w:t>foreseen</w:t>
      </w:r>
      <w:r w:rsidR="0014229D">
        <w:t xml:space="preserve"> under the 1996 Hague Convention on </w:t>
      </w:r>
      <w:r w:rsidR="00CC3397">
        <w:t>Protection of Children but to date</w:t>
      </w:r>
      <w:r w:rsidR="00C339B0">
        <w:t xml:space="preserve"> this treaty</w:t>
      </w:r>
      <w:r w:rsidR="00CC3397">
        <w:t xml:space="preserve"> has only 55 Contracting States.</w:t>
      </w:r>
    </w:p>
    <w:p w14:paraId="41615557" w14:textId="31DD13FA" w:rsidR="000B1632" w:rsidRPr="00142959" w:rsidRDefault="00142959" w:rsidP="000B1632">
      <w:pPr>
        <w:rPr>
          <w:b/>
          <w:bCs/>
        </w:rPr>
      </w:pPr>
      <w:r w:rsidRPr="00142959">
        <w:rPr>
          <w:b/>
          <w:bCs/>
        </w:rPr>
        <w:t xml:space="preserve">…and the </w:t>
      </w:r>
      <w:r w:rsidR="00C22CF7">
        <w:rPr>
          <w:b/>
          <w:bCs/>
        </w:rPr>
        <w:t>particular</w:t>
      </w:r>
      <w:r w:rsidRPr="00142959">
        <w:rPr>
          <w:b/>
          <w:bCs/>
        </w:rPr>
        <w:t xml:space="preserve"> case of abduction</w:t>
      </w:r>
    </w:p>
    <w:p w14:paraId="50C3D2C1" w14:textId="0958684F" w:rsidR="008D439F" w:rsidRDefault="007B7A75" w:rsidP="007B7A75">
      <w:r>
        <w:t xml:space="preserve">But there is </w:t>
      </w:r>
      <w:r w:rsidR="00F07569">
        <w:t>also a third type of circumstance</w:t>
      </w:r>
      <w:r w:rsidR="000024E8">
        <w:t xml:space="preserve">, particularly complex, </w:t>
      </w:r>
      <w:r w:rsidR="0041230B">
        <w:t xml:space="preserve">which demands a best </w:t>
      </w:r>
      <w:proofErr w:type="gramStart"/>
      <w:r w:rsidR="0041230B">
        <w:t>interests</w:t>
      </w:r>
      <w:proofErr w:type="gramEnd"/>
      <w:r w:rsidR="0041230B">
        <w:t xml:space="preserve"> assessment </w:t>
      </w:r>
      <w:r w:rsidR="002F6078">
        <w:t xml:space="preserve">both </w:t>
      </w:r>
      <w:r w:rsidR="002F6078" w:rsidRPr="00B940FD">
        <w:rPr>
          <w:b/>
          <w:bCs/>
          <w:i/>
          <w:iCs/>
        </w:rPr>
        <w:t>after</w:t>
      </w:r>
      <w:r w:rsidR="002F6078">
        <w:t xml:space="preserve"> a cross-border move</w:t>
      </w:r>
      <w:r w:rsidR="0057249F">
        <w:t xml:space="preserve"> and then </w:t>
      </w:r>
      <w:r w:rsidR="0057249F" w:rsidRPr="00B940FD">
        <w:rPr>
          <w:b/>
          <w:bCs/>
          <w:i/>
          <w:iCs/>
        </w:rPr>
        <w:t>again after</w:t>
      </w:r>
      <w:r w:rsidR="0057249F">
        <w:t xml:space="preserve"> a further </w:t>
      </w:r>
      <w:r w:rsidR="00B940FD">
        <w:t>such move.</w:t>
      </w:r>
      <w:r w:rsidR="003412F0">
        <w:t xml:space="preserve"> That of course </w:t>
      </w:r>
      <w:r w:rsidR="003A16EB">
        <w:t xml:space="preserve">applies </w:t>
      </w:r>
      <w:r w:rsidR="003412F0">
        <w:t>i</w:t>
      </w:r>
      <w:r w:rsidR="003A16EB">
        <w:t>n</w:t>
      </w:r>
      <w:r w:rsidR="003412F0">
        <w:t xml:space="preserve"> the </w:t>
      </w:r>
      <w:r w:rsidR="003A16EB">
        <w:t xml:space="preserve">specific </w:t>
      </w:r>
      <w:r w:rsidR="003412F0">
        <w:t xml:space="preserve">case </w:t>
      </w:r>
      <w:r w:rsidR="003A16EB">
        <w:t>of</w:t>
      </w:r>
      <w:r w:rsidR="003412F0">
        <w:t xml:space="preserve"> the international </w:t>
      </w:r>
      <w:r w:rsidR="003052B1">
        <w:t xml:space="preserve">parental </w:t>
      </w:r>
      <w:r w:rsidR="003412F0">
        <w:t>abduction</w:t>
      </w:r>
      <w:r w:rsidR="00497CDF">
        <w:t xml:space="preserve"> and non-return</w:t>
      </w:r>
      <w:r w:rsidR="003412F0">
        <w:t xml:space="preserve"> of children</w:t>
      </w:r>
      <w:r w:rsidR="00497CDF">
        <w:t>.</w:t>
      </w:r>
    </w:p>
    <w:p w14:paraId="7BA39FBE" w14:textId="055A3FB3" w:rsidR="00001532" w:rsidRDefault="003F789A" w:rsidP="007B7A75">
      <w:r>
        <w:t>Under</w:t>
      </w:r>
      <w:r w:rsidR="0001781A">
        <w:t xml:space="preserve"> the 1980 </w:t>
      </w:r>
      <w:r w:rsidR="0001781A" w:rsidRPr="000B1632">
        <w:t>Hague Abduction Convention</w:t>
      </w:r>
      <w:r w:rsidR="00486432">
        <w:t xml:space="preserve"> (HAC)</w:t>
      </w:r>
      <w:r w:rsidR="001A0E8F">
        <w:t>, the</w:t>
      </w:r>
      <w:r w:rsidR="00C679A4">
        <w:t xml:space="preserve"> </w:t>
      </w:r>
      <w:r w:rsidR="00C679A4" w:rsidRPr="000B1632">
        <w:t>assumption</w:t>
      </w:r>
      <w:r w:rsidR="00C679A4">
        <w:t xml:space="preserve"> is</w:t>
      </w:r>
      <w:r w:rsidR="00C679A4" w:rsidRPr="000B1632">
        <w:t xml:space="preserve"> that </w:t>
      </w:r>
      <w:r w:rsidR="009812B4">
        <w:t>the best interests of an abducted child</w:t>
      </w:r>
      <w:r w:rsidR="00C679A4" w:rsidRPr="000B1632">
        <w:t xml:space="preserve"> are generally best served by </w:t>
      </w:r>
      <w:r w:rsidR="00112EF6">
        <w:t>their return to their country of habitual residence</w:t>
      </w:r>
      <w:r w:rsidR="007F24DA">
        <w:t xml:space="preserve"> before </w:t>
      </w:r>
      <w:r w:rsidR="000B6FF9">
        <w:t>any definitive decision is made as to their cu</w:t>
      </w:r>
      <w:r w:rsidR="009129EC">
        <w:t>stody and</w:t>
      </w:r>
      <w:r w:rsidR="0086429A">
        <w:t xml:space="preserve"> to the</w:t>
      </w:r>
      <w:r w:rsidR="009129EC">
        <w:t xml:space="preserve"> terms of contact with</w:t>
      </w:r>
      <w:r w:rsidR="0086429A">
        <w:t xml:space="preserve"> their</w:t>
      </w:r>
      <w:r w:rsidR="009129EC">
        <w:t xml:space="preserve"> parents</w:t>
      </w:r>
      <w:r w:rsidR="00605F81">
        <w:t xml:space="preserve"> (access)</w:t>
      </w:r>
      <w:r w:rsidR="00A0653C">
        <w:t xml:space="preserve">. </w:t>
      </w:r>
      <w:r w:rsidR="00A91516">
        <w:t xml:space="preserve">This </w:t>
      </w:r>
      <w:r w:rsidR="007819F9">
        <w:t>assumption</w:t>
      </w:r>
      <w:r w:rsidR="00A91516">
        <w:t xml:space="preserve"> is grounded </w:t>
      </w:r>
      <w:r w:rsidR="00454BE9">
        <w:t xml:space="preserve">in particular in the fact </w:t>
      </w:r>
      <w:r w:rsidR="00E55C08">
        <w:t>that their removal</w:t>
      </w:r>
      <w:r w:rsidR="00C2240B">
        <w:t xml:space="preserve"> to,</w:t>
      </w:r>
      <w:r w:rsidR="00E55C08">
        <w:t xml:space="preserve"> or retention</w:t>
      </w:r>
      <w:r w:rsidR="00C2240B">
        <w:t xml:space="preserve"> in,</w:t>
      </w:r>
      <w:r w:rsidR="00E17CE0">
        <w:t xml:space="preserve"> the</w:t>
      </w:r>
      <w:r w:rsidR="00E55C08">
        <w:t xml:space="preserve"> </w:t>
      </w:r>
      <w:r w:rsidR="007B5A43">
        <w:t xml:space="preserve">country where they find themselves </w:t>
      </w:r>
      <w:r w:rsidR="0023139F">
        <w:t xml:space="preserve">is in principle </w:t>
      </w:r>
      <w:r w:rsidR="00F24D30">
        <w:t xml:space="preserve">due to </w:t>
      </w:r>
      <w:r w:rsidR="0023139F">
        <w:t xml:space="preserve">an illicit </w:t>
      </w:r>
      <w:r w:rsidR="00383649">
        <w:t>act and</w:t>
      </w:r>
      <w:r w:rsidR="00A113F9">
        <w:t xml:space="preserve"> is</w:t>
      </w:r>
      <w:r w:rsidR="00FF6F68">
        <w:t xml:space="preserve"> designed to dissuade potential abducting parents </w:t>
      </w:r>
      <w:r w:rsidR="00AC4B5C">
        <w:t xml:space="preserve">as much </w:t>
      </w:r>
      <w:r w:rsidR="00FF6F68">
        <w:t>as to uphold children’s best interests</w:t>
      </w:r>
      <w:r w:rsidR="00AC4B5C">
        <w:t>.</w:t>
      </w:r>
      <w:r w:rsidR="00383649">
        <w:t xml:space="preserve"> </w:t>
      </w:r>
      <w:r w:rsidR="001F7867">
        <w:t>It is a</w:t>
      </w:r>
      <w:r w:rsidR="002F3405">
        <w:t>n ostensibly</w:t>
      </w:r>
      <w:r w:rsidR="001F7867">
        <w:t xml:space="preserve"> logical stance.</w:t>
      </w:r>
    </w:p>
    <w:p w14:paraId="3BA3DBC0" w14:textId="128C939F" w:rsidR="00931BAB" w:rsidRDefault="00C62432" w:rsidP="007B7A75">
      <w:r>
        <w:t xml:space="preserve">That logic is enhanced </w:t>
      </w:r>
      <w:r w:rsidR="006E73B7">
        <w:t>by the</w:t>
      </w:r>
      <w:r w:rsidR="00F81803">
        <w:t xml:space="preserve"> fact</w:t>
      </w:r>
      <w:r w:rsidR="00667EE1">
        <w:t xml:space="preserve"> that</w:t>
      </w:r>
      <w:r w:rsidR="007D4F94">
        <w:t xml:space="preserve"> the child’s return </w:t>
      </w:r>
      <w:r w:rsidR="004A7425">
        <w:t>i</w:t>
      </w:r>
      <w:r w:rsidR="00DA5F2D">
        <w:t xml:space="preserve">s conditional </w:t>
      </w:r>
      <w:r w:rsidR="00F22AFA">
        <w:t xml:space="preserve">on a number of factors. </w:t>
      </w:r>
      <w:r w:rsidR="009E6CFC">
        <w:t>Th</w:t>
      </w:r>
      <w:r w:rsidR="00873E2C">
        <w:t>us, th</w:t>
      </w:r>
      <w:r w:rsidR="009E6CFC">
        <w:t>e competent judicial or administrative authorities</w:t>
      </w:r>
      <w:r w:rsidR="00603CBD">
        <w:t xml:space="preserve"> should establish that</w:t>
      </w:r>
      <w:r w:rsidR="00C93277">
        <w:t xml:space="preserve"> return</w:t>
      </w:r>
      <w:r w:rsidR="00EF5863">
        <w:t xml:space="preserve"> would not run counter to</w:t>
      </w:r>
      <w:r w:rsidR="00603CBD">
        <w:t xml:space="preserve"> </w:t>
      </w:r>
      <w:r w:rsidR="000E2F24">
        <w:t>the</w:t>
      </w:r>
      <w:r w:rsidR="00603CBD">
        <w:t xml:space="preserve"> best interests of the child </w:t>
      </w:r>
      <w:r w:rsidR="0033268B">
        <w:t>as a result of</w:t>
      </w:r>
      <w:r w:rsidR="00ED3C2E">
        <w:t xml:space="preserve">: </w:t>
      </w:r>
      <w:r w:rsidR="00C679A4" w:rsidRPr="000B1632">
        <w:t xml:space="preserve">i) </w:t>
      </w:r>
      <w:r w:rsidR="000C3CC5">
        <w:t xml:space="preserve">a </w:t>
      </w:r>
      <w:r w:rsidR="00C679A4" w:rsidRPr="000B1632">
        <w:t>grave risk of harm</w:t>
      </w:r>
      <w:r w:rsidR="00FC1B0C">
        <w:t xml:space="preserve"> (</w:t>
      </w:r>
      <w:r w:rsidR="00D63692">
        <w:t>H</w:t>
      </w:r>
      <w:r w:rsidR="00486432">
        <w:t>A</w:t>
      </w:r>
      <w:r w:rsidR="00D63692">
        <w:t xml:space="preserve">C </w:t>
      </w:r>
      <w:r w:rsidR="00FC1B0C">
        <w:t>Art 13.b</w:t>
      </w:r>
      <w:r w:rsidR="00A200A1">
        <w:t>)</w:t>
      </w:r>
      <w:r w:rsidR="00C679A4" w:rsidRPr="000B1632">
        <w:t xml:space="preserve">, ii) </w:t>
      </w:r>
      <w:r w:rsidR="000C3CC5">
        <w:t xml:space="preserve">the </w:t>
      </w:r>
      <w:r w:rsidR="00C679A4" w:rsidRPr="000B1632">
        <w:t>child’s refusal</w:t>
      </w:r>
      <w:r w:rsidR="008E6755">
        <w:t xml:space="preserve"> (</w:t>
      </w:r>
      <w:r w:rsidR="00D63692">
        <w:t>H</w:t>
      </w:r>
      <w:r w:rsidR="00486432">
        <w:t>A</w:t>
      </w:r>
      <w:r w:rsidR="00D63692">
        <w:t xml:space="preserve">C </w:t>
      </w:r>
      <w:r w:rsidR="003735CC">
        <w:t>Art 13)</w:t>
      </w:r>
      <w:r w:rsidR="00C679A4" w:rsidRPr="000B1632">
        <w:t xml:space="preserve">, </w:t>
      </w:r>
      <w:r w:rsidR="00630283">
        <w:t xml:space="preserve">and/or </w:t>
      </w:r>
      <w:r w:rsidR="00C679A4" w:rsidRPr="000B1632">
        <w:t>iii)</w:t>
      </w:r>
      <w:r w:rsidR="003246DE">
        <w:t xml:space="preserve"> under certain circumstances</w:t>
      </w:r>
      <w:r w:rsidR="00C679A4" w:rsidRPr="000B1632">
        <w:t xml:space="preserve"> </w:t>
      </w:r>
      <w:r w:rsidR="0095502F">
        <w:t xml:space="preserve">the </w:t>
      </w:r>
      <w:r w:rsidR="00C679A4" w:rsidRPr="000B1632">
        <w:t>child</w:t>
      </w:r>
      <w:r w:rsidR="0095502F">
        <w:t xml:space="preserve"> </w:t>
      </w:r>
      <w:r w:rsidR="000D0BD1">
        <w:t>being</w:t>
      </w:r>
      <w:r w:rsidR="0095502F">
        <w:t xml:space="preserve"> deemed to be</w:t>
      </w:r>
      <w:r w:rsidR="008B3B17">
        <w:t xml:space="preserve"> already</w:t>
      </w:r>
      <w:r w:rsidR="00C679A4" w:rsidRPr="000B1632">
        <w:t xml:space="preserve"> ‘’settled’’ in </w:t>
      </w:r>
      <w:r w:rsidR="0095502F">
        <w:t xml:space="preserve">their </w:t>
      </w:r>
      <w:r w:rsidR="00C679A4" w:rsidRPr="000B1632">
        <w:t>new environment</w:t>
      </w:r>
      <w:r w:rsidR="00176346">
        <w:t xml:space="preserve"> (</w:t>
      </w:r>
      <w:r w:rsidR="00D63692">
        <w:t>H</w:t>
      </w:r>
      <w:r w:rsidR="00486432">
        <w:t>A</w:t>
      </w:r>
      <w:r w:rsidR="00D63692">
        <w:t xml:space="preserve">C </w:t>
      </w:r>
      <w:r w:rsidR="00176346">
        <w:t>Art 12)</w:t>
      </w:r>
      <w:r w:rsidR="0095502F">
        <w:t>.</w:t>
      </w:r>
    </w:p>
    <w:p w14:paraId="7CBC05C4" w14:textId="43597B96" w:rsidR="00197380" w:rsidRDefault="00067B51" w:rsidP="00464951">
      <w:r>
        <w:t xml:space="preserve">The BID that </w:t>
      </w:r>
      <w:r w:rsidR="002860A1">
        <w:t>these caveats</w:t>
      </w:r>
      <w:r>
        <w:t xml:space="preserve"> impl</w:t>
      </w:r>
      <w:r w:rsidR="00DF6DF2">
        <w:t>y</w:t>
      </w:r>
      <w:r w:rsidR="00E40FDE">
        <w:t xml:space="preserve"> is itself a logical con</w:t>
      </w:r>
      <w:r w:rsidR="00A6436A">
        <w:t xml:space="preserve">sequence of the preambular affirmation of the </w:t>
      </w:r>
      <w:r w:rsidR="00147A46">
        <w:t>HAC</w:t>
      </w:r>
      <w:r w:rsidR="00A6436A">
        <w:t xml:space="preserve"> </w:t>
      </w:r>
      <w:r w:rsidR="00464951">
        <w:t xml:space="preserve">that </w:t>
      </w:r>
      <w:r w:rsidR="00075E1C">
        <w:t>“</w:t>
      </w:r>
      <w:r w:rsidR="000B1632" w:rsidRPr="000B1632">
        <w:t xml:space="preserve">the interests of children are </w:t>
      </w:r>
      <w:r w:rsidR="000B1632" w:rsidRPr="000B1632">
        <w:rPr>
          <w:i/>
          <w:iCs/>
        </w:rPr>
        <w:t>of paramount importance</w:t>
      </w:r>
      <w:r w:rsidR="000B1632" w:rsidRPr="000B1632">
        <w:t xml:space="preserve"> in matters relating to their custody</w:t>
      </w:r>
      <w:r w:rsidR="00075E1C">
        <w:t>”</w:t>
      </w:r>
      <w:r w:rsidR="00EC1D79">
        <w:t xml:space="preserve">. </w:t>
      </w:r>
      <w:r w:rsidR="00E46ACC">
        <w:t xml:space="preserve">It is a moot point whether children’s “interests” </w:t>
      </w:r>
      <w:r w:rsidR="00CC1080">
        <w:t xml:space="preserve">are to be seen as equivalent to their “best </w:t>
      </w:r>
      <w:r w:rsidR="00CE0D54">
        <w:t>interests</w:t>
      </w:r>
      <w:r w:rsidR="00CC1080">
        <w:t>”</w:t>
      </w:r>
      <w:r w:rsidR="00CE0D54">
        <w:t xml:space="preserve"> </w:t>
      </w:r>
      <w:r w:rsidR="0068795E">
        <w:t>–</w:t>
      </w:r>
      <w:r w:rsidR="00DA2ACB">
        <w:t xml:space="preserve"> </w:t>
      </w:r>
      <w:r w:rsidR="0068795E">
        <w:t xml:space="preserve">I would </w:t>
      </w:r>
      <w:r w:rsidR="007C37BA">
        <w:t xml:space="preserve">certainly </w:t>
      </w:r>
      <w:r w:rsidR="0068795E">
        <w:t xml:space="preserve">argue that </w:t>
      </w:r>
      <w:r w:rsidR="00202500">
        <w:t>they</w:t>
      </w:r>
      <w:r w:rsidR="0068795E">
        <w:t xml:space="preserve"> are – but </w:t>
      </w:r>
      <w:r w:rsidR="00421903">
        <w:t xml:space="preserve">the reference to paramountcy </w:t>
      </w:r>
      <w:r w:rsidR="00C11DE4">
        <w:t xml:space="preserve">leaves no doubt as to </w:t>
      </w:r>
      <w:r w:rsidR="00E07985">
        <w:t>th</w:t>
      </w:r>
      <w:r w:rsidR="006A4672">
        <w:t>e</w:t>
      </w:r>
      <w:r w:rsidR="00F94B9E">
        <w:t xml:space="preserve"> </w:t>
      </w:r>
      <w:r w:rsidR="000E5C54">
        <w:t xml:space="preserve">way in which </w:t>
      </w:r>
      <w:r w:rsidR="00182D86">
        <w:t>these situations are to be broached.</w:t>
      </w:r>
    </w:p>
    <w:p w14:paraId="536ABC8D" w14:textId="704E21CE" w:rsidR="000B1632" w:rsidRDefault="003E5C8B" w:rsidP="00464951">
      <w:r>
        <w:t xml:space="preserve">Over and above </w:t>
      </w:r>
      <w:r w:rsidR="00DC54DD">
        <w:t xml:space="preserve">other considerations, </w:t>
      </w:r>
      <w:r w:rsidR="008850A5">
        <w:t>discussed below under “</w:t>
      </w:r>
      <w:r w:rsidR="00AC2C0D">
        <w:t xml:space="preserve">Key </w:t>
      </w:r>
      <w:r w:rsidR="008850A5">
        <w:t>Challenges”,</w:t>
      </w:r>
      <w:r w:rsidR="0068156C">
        <w:t xml:space="preserve"> </w:t>
      </w:r>
      <w:r w:rsidR="00DC54DD">
        <w:t>this assessment and determination exercise</w:t>
      </w:r>
      <w:r w:rsidR="00B41349">
        <w:t>,</w:t>
      </w:r>
      <w:r w:rsidR="005B7D94">
        <w:t xml:space="preserve"> </w:t>
      </w:r>
      <w:r w:rsidR="008330E2">
        <w:t xml:space="preserve">by competent services </w:t>
      </w:r>
      <w:r w:rsidR="005B7D94">
        <w:t xml:space="preserve">in </w:t>
      </w:r>
      <w:r w:rsidR="00B41349">
        <w:t>the country where the child is present,</w:t>
      </w:r>
      <w:r w:rsidR="007432B9">
        <w:t xml:space="preserve"> </w:t>
      </w:r>
      <w:r w:rsidR="0068156C">
        <w:t>requires</w:t>
      </w:r>
      <w:r w:rsidR="0037138B">
        <w:t xml:space="preserve"> at least well-founded knowledge of </w:t>
      </w:r>
      <w:r w:rsidR="00360654">
        <w:t xml:space="preserve">the </w:t>
      </w:r>
      <w:r w:rsidR="00B870FE">
        <w:t>situation in the child’s country of habitual residence a</w:t>
      </w:r>
      <w:r w:rsidR="000E531E">
        <w:t xml:space="preserve">s well as </w:t>
      </w:r>
      <w:r w:rsidR="007238A9">
        <w:t xml:space="preserve">securing </w:t>
      </w:r>
      <w:r w:rsidR="00CF37E6">
        <w:t>the child’s freely-expressed opinion</w:t>
      </w:r>
      <w:r w:rsidR="009B09B3">
        <w:t xml:space="preserve"> </w:t>
      </w:r>
      <w:r w:rsidR="00136143">
        <w:t>in</w:t>
      </w:r>
      <w:r w:rsidR="007238A9">
        <w:t xml:space="preserve"> what may well be</w:t>
      </w:r>
      <w:r w:rsidR="00136143">
        <w:t xml:space="preserve"> a stressful situation</w:t>
      </w:r>
      <w:r w:rsidR="00CF37E6">
        <w:t>.</w:t>
      </w:r>
    </w:p>
    <w:p w14:paraId="1D63D7F0" w14:textId="489CFE9A" w:rsidR="00F33762" w:rsidRDefault="00291300" w:rsidP="00F33762">
      <w:r>
        <w:t xml:space="preserve">In </w:t>
      </w:r>
      <w:r w:rsidR="000838CE">
        <w:t>practice,</w:t>
      </w:r>
      <w:r w:rsidR="00072233">
        <w:t xml:space="preserve"> where the two countries involved are parties to the </w:t>
      </w:r>
      <w:r w:rsidR="00CB54AE">
        <w:t>HAC</w:t>
      </w:r>
      <w:r w:rsidR="008756C1">
        <w:t>,</w:t>
      </w:r>
      <w:r w:rsidR="000E724C">
        <w:t xml:space="preserve"> it seems that</w:t>
      </w:r>
      <w:r w:rsidR="008756C1">
        <w:t xml:space="preserve"> the child’s return is</w:t>
      </w:r>
      <w:r w:rsidR="005C05C0">
        <w:t xml:space="preserve"> </w:t>
      </w:r>
      <w:r w:rsidR="0098680E">
        <w:t>usually</w:t>
      </w:r>
      <w:r w:rsidR="008756C1">
        <w:t xml:space="preserve"> </w:t>
      </w:r>
      <w:r w:rsidR="008756C1" w:rsidRPr="003C223B">
        <w:t>ordered</w:t>
      </w:r>
      <w:r w:rsidR="00B40BF9" w:rsidRPr="003C223B">
        <w:t xml:space="preserve"> and effected</w:t>
      </w:r>
      <w:r w:rsidR="00E42CF1">
        <w:t>.</w:t>
      </w:r>
      <w:r w:rsidR="00F6149A">
        <w:t xml:space="preserve"> </w:t>
      </w:r>
      <w:r w:rsidR="0098680E">
        <w:t>In line with the thinking behind the</w:t>
      </w:r>
      <w:r w:rsidR="000D0ABB">
        <w:t xml:space="preserve"> </w:t>
      </w:r>
      <w:r w:rsidR="00A718E4">
        <w:t>treaty</w:t>
      </w:r>
      <w:r w:rsidR="000D0ABB">
        <w:t>, t</w:t>
      </w:r>
      <w:r w:rsidR="00E42CF1">
        <w:t>his</w:t>
      </w:r>
      <w:r w:rsidR="00F6149A">
        <w:t xml:space="preserve"> </w:t>
      </w:r>
      <w:r w:rsidR="00595686">
        <w:t>re-establish</w:t>
      </w:r>
      <w:r w:rsidR="00F31AFF">
        <w:t>es</w:t>
      </w:r>
      <w:r w:rsidR="00595686">
        <w:t xml:space="preserve"> the </w:t>
      </w:r>
      <w:r w:rsidR="00595686" w:rsidRPr="006E7322">
        <w:rPr>
          <w:i/>
          <w:iCs/>
        </w:rPr>
        <w:t>status quo ante</w:t>
      </w:r>
      <w:r w:rsidR="00595686">
        <w:t xml:space="preserve"> </w:t>
      </w:r>
      <w:r w:rsidR="003870D9">
        <w:t>which will</w:t>
      </w:r>
      <w:r w:rsidR="00C043C0">
        <w:t xml:space="preserve"> </w:t>
      </w:r>
      <w:r w:rsidR="00B40BF9">
        <w:t>enable a fresh BID to be conducted</w:t>
      </w:r>
      <w:r w:rsidR="003A310D">
        <w:t xml:space="preserve"> from scratch</w:t>
      </w:r>
      <w:r w:rsidR="00AE27FE">
        <w:t xml:space="preserve">. </w:t>
      </w:r>
      <w:r w:rsidR="00574979">
        <w:t xml:space="preserve">This time, however, the BID will </w:t>
      </w:r>
      <w:r w:rsidR="00674C59">
        <w:t xml:space="preserve">naturally </w:t>
      </w:r>
      <w:r w:rsidR="00552FFD">
        <w:t>be carried out by competent services in the country of habitual residence</w:t>
      </w:r>
      <w:r w:rsidR="00674C59">
        <w:t>.</w:t>
      </w:r>
    </w:p>
    <w:p w14:paraId="5FA72A30" w14:textId="351C2C17" w:rsidR="004C2FC8" w:rsidRDefault="00713664" w:rsidP="00F33762">
      <w:r>
        <w:t>The problem then arises that</w:t>
      </w:r>
      <w:r w:rsidR="003D79E8">
        <w:t>, depending on the two countries concerned,</w:t>
      </w:r>
      <w:r>
        <w:t xml:space="preserve"> the premise</w:t>
      </w:r>
      <w:r w:rsidR="00C87B13">
        <w:t>s</w:t>
      </w:r>
      <w:r>
        <w:t xml:space="preserve"> on which th</w:t>
      </w:r>
      <w:r w:rsidR="00C33398">
        <w:t>os</w:t>
      </w:r>
      <w:r>
        <w:t xml:space="preserve">e first and second BIDs are </w:t>
      </w:r>
      <w:r w:rsidR="003D79E8">
        <w:t xml:space="preserve">undertaken </w:t>
      </w:r>
      <w:r w:rsidR="001E09E6">
        <w:t xml:space="preserve">may </w:t>
      </w:r>
      <w:r w:rsidR="00C03B01">
        <w:t>diverge markedly</w:t>
      </w:r>
      <w:r w:rsidR="001E09E6">
        <w:t>. I</w:t>
      </w:r>
      <w:r w:rsidR="00BC133C">
        <w:t>ndeed, i</w:t>
      </w:r>
      <w:r w:rsidR="001E09E6">
        <w:t xml:space="preserve">t was </w:t>
      </w:r>
      <w:r w:rsidR="00661ED6">
        <w:t xml:space="preserve">in recognition </w:t>
      </w:r>
      <w:r w:rsidR="00456AD7">
        <w:t>of th</w:t>
      </w:r>
      <w:r w:rsidR="00F508BE">
        <w:t>e</w:t>
      </w:r>
      <w:r w:rsidR="00456AD7">
        <w:t xml:space="preserve"> fact that </w:t>
      </w:r>
      <w:r w:rsidR="0021484B">
        <w:t xml:space="preserve">socio-cultural (not to say political) perceptions of </w:t>
      </w:r>
      <w:r w:rsidR="00091D62">
        <w:t xml:space="preserve">what </w:t>
      </w:r>
      <w:r w:rsidR="003D2390">
        <w:t>corresponds to</w:t>
      </w:r>
      <w:r w:rsidR="00091D62">
        <w:t xml:space="preserve"> a child’s best interests</w:t>
      </w:r>
      <w:r w:rsidR="004A0597">
        <w:t xml:space="preserve"> may vary widely</w:t>
      </w:r>
      <w:r w:rsidR="003D2390">
        <w:t xml:space="preserve"> – </w:t>
      </w:r>
      <w:r w:rsidR="00795089">
        <w:t>as well as</w:t>
      </w:r>
      <w:r w:rsidR="003D2390">
        <w:t xml:space="preserve"> the need to take account of the specifics of each case </w:t>
      </w:r>
      <w:r w:rsidR="00795089">
        <w:t>–</w:t>
      </w:r>
      <w:r w:rsidR="00091D62">
        <w:t xml:space="preserve"> </w:t>
      </w:r>
      <w:r w:rsidR="00D55AE1">
        <w:t xml:space="preserve">that no attempt was made to </w:t>
      </w:r>
      <w:r w:rsidR="00661ED6">
        <w:t xml:space="preserve">define </w:t>
      </w:r>
      <w:r w:rsidR="006B1553">
        <w:t>“best interests”</w:t>
      </w:r>
      <w:r w:rsidR="00A55376">
        <w:t xml:space="preserve"> as such</w:t>
      </w:r>
      <w:r w:rsidR="00325B44">
        <w:t xml:space="preserve"> in the CRC</w:t>
      </w:r>
      <w:r w:rsidR="00661ED6">
        <w:t xml:space="preserve">. </w:t>
      </w:r>
      <w:r w:rsidR="009E72F8">
        <w:t xml:space="preserve">When two back-to-back determinations are to be made </w:t>
      </w:r>
      <w:r w:rsidR="00876F01">
        <w:t xml:space="preserve">in potentially </w:t>
      </w:r>
      <w:r w:rsidR="00615C50" w:rsidRPr="008B2A13">
        <w:t>very different</w:t>
      </w:r>
      <w:r w:rsidR="00615C50">
        <w:t xml:space="preserve"> socio-cultural contexts</w:t>
      </w:r>
      <w:r w:rsidR="0060286D">
        <w:t xml:space="preserve">, </w:t>
      </w:r>
      <w:r w:rsidR="00EF6450">
        <w:t xml:space="preserve">this issue </w:t>
      </w:r>
      <w:r w:rsidR="00915B1A">
        <w:t>is</w:t>
      </w:r>
      <w:r w:rsidR="00F925DF">
        <w:t xml:space="preserve"> brought to the fore</w:t>
      </w:r>
      <w:r w:rsidR="00665BFF">
        <w:t xml:space="preserve"> in a</w:t>
      </w:r>
      <w:r w:rsidR="00915B1A">
        <w:t xml:space="preserve"> particularly stark</w:t>
      </w:r>
      <w:r w:rsidR="00665BFF">
        <w:t xml:space="preserve"> fashion.</w:t>
      </w:r>
    </w:p>
    <w:p w14:paraId="4B918C68" w14:textId="25DB28AA" w:rsidR="008840D1" w:rsidRDefault="00AA2C91" w:rsidP="00F33762">
      <w:r>
        <w:lastRenderedPageBreak/>
        <w:t xml:space="preserve">The reasoning behind </w:t>
      </w:r>
      <w:r w:rsidR="00554081">
        <w:t xml:space="preserve">the unwillingness or outright refusal of many States to </w:t>
      </w:r>
      <w:r w:rsidR="002E6CB0">
        <w:t xml:space="preserve">accede to the </w:t>
      </w:r>
      <w:r w:rsidR="00F95DED">
        <w:t xml:space="preserve">HAC – </w:t>
      </w:r>
      <w:r w:rsidR="00F95DED" w:rsidRPr="007B3262">
        <w:t>barely more than half (101)</w:t>
      </w:r>
      <w:r w:rsidR="00F95DED">
        <w:t xml:space="preserve"> </w:t>
      </w:r>
      <w:r w:rsidR="00F95DED" w:rsidRPr="007B3262">
        <w:t xml:space="preserve">of the world’s States have signed up to that </w:t>
      </w:r>
      <w:r w:rsidR="00F95DED">
        <w:t>treaty –</w:t>
      </w:r>
      <w:r w:rsidR="00C962FB">
        <w:t xml:space="preserve"> is</w:t>
      </w:r>
      <w:r w:rsidR="0091726C">
        <w:t xml:space="preserve"> </w:t>
      </w:r>
      <w:r w:rsidR="005E4D1E">
        <w:t>largely</w:t>
      </w:r>
      <w:r w:rsidR="0091726C">
        <w:t xml:space="preserve"> </w:t>
      </w:r>
      <w:r w:rsidR="00C962FB">
        <w:t>grounded in</w:t>
      </w:r>
      <w:r w:rsidR="0091726C">
        <w:t xml:space="preserve"> this</w:t>
      </w:r>
      <w:r w:rsidR="000C16FE">
        <w:t xml:space="preserve"> problem, moreover.</w:t>
      </w:r>
      <w:r w:rsidR="003633D1">
        <w:t xml:space="preserve"> </w:t>
      </w:r>
      <w:r w:rsidR="003C0091">
        <w:t>At this point</w:t>
      </w:r>
      <w:r w:rsidR="003633D1">
        <w:t xml:space="preserve">, it is worth recalling the debates during the drafting of CRC Art 11 in the 1980s. </w:t>
      </w:r>
    </w:p>
    <w:p w14:paraId="726B57C8" w14:textId="59291E5F" w:rsidR="00AA2C91" w:rsidRDefault="008840D1" w:rsidP="00F33762">
      <w:r>
        <w:t xml:space="preserve">Although this </w:t>
      </w:r>
      <w:r w:rsidR="003633D1">
        <w:t xml:space="preserve">provision of the CRC is meant to cover intrafamilial child abduction, it does so without explicit reference to “abduction”. </w:t>
      </w:r>
      <w:r w:rsidR="00940309">
        <w:t>This depiction of the act in question was</w:t>
      </w:r>
      <w:r w:rsidR="006B723F">
        <w:t xml:space="preserve"> vetoed by </w:t>
      </w:r>
      <w:r w:rsidR="003633D1">
        <w:t>s</w:t>
      </w:r>
      <w:r w:rsidR="003633D1" w:rsidRPr="007B3262">
        <w:t xml:space="preserve">everal States, particularly those that had been criticised for not reacting appropriately in cases where their citizens (invariably fathers) had abducted their children to their country of origin. </w:t>
      </w:r>
      <w:r w:rsidR="00752A1D">
        <w:t xml:space="preserve"> </w:t>
      </w:r>
      <w:r w:rsidR="00B55A5F">
        <w:t>The</w:t>
      </w:r>
      <w:r w:rsidR="005552AC">
        <w:t>y</w:t>
      </w:r>
      <w:r w:rsidR="00B55A5F">
        <w:t xml:space="preserve"> </w:t>
      </w:r>
      <w:r w:rsidR="009F18C4">
        <w:t>were</w:t>
      </w:r>
      <w:r w:rsidR="00B55A5F">
        <w:t xml:space="preserve"> not prepared to concede that</w:t>
      </w:r>
      <w:r w:rsidR="00DB162C">
        <w:t>, as a general rule,</w:t>
      </w:r>
      <w:r w:rsidR="002E6CB0">
        <w:t xml:space="preserve"> </w:t>
      </w:r>
      <w:r w:rsidR="005552AC">
        <w:t xml:space="preserve">an approach to best interests other than their own </w:t>
      </w:r>
      <w:r w:rsidR="005E5FE9">
        <w:t xml:space="preserve">would be </w:t>
      </w:r>
      <w:r w:rsidR="00AE03F9">
        <w:t xml:space="preserve">a </w:t>
      </w:r>
      <w:r w:rsidR="005E5FE9">
        <w:t>valid</w:t>
      </w:r>
      <w:r w:rsidR="00AE03F9">
        <w:t xml:space="preserve"> basis for decision-making on </w:t>
      </w:r>
      <w:r w:rsidR="00003928">
        <w:t>children within their jurisdiction</w:t>
      </w:r>
      <w:r w:rsidR="005E5FE9">
        <w:t>.</w:t>
      </w:r>
      <w:r w:rsidR="00003928">
        <w:t xml:space="preserve"> </w:t>
      </w:r>
      <w:r w:rsidR="00483A91">
        <w:t>As a</w:t>
      </w:r>
      <w:r w:rsidR="009469A5">
        <w:t xml:space="preserve"> result, </w:t>
      </w:r>
      <w:r w:rsidR="00222D4C">
        <w:t xml:space="preserve">their </w:t>
      </w:r>
      <w:r w:rsidR="00021E75">
        <w:t>preference</w:t>
      </w:r>
      <w:r w:rsidR="00CD36E3">
        <w:t xml:space="preserve"> for determining BIC</w:t>
      </w:r>
      <w:r w:rsidR="00222D4C">
        <w:t xml:space="preserve"> may </w:t>
      </w:r>
      <w:r w:rsidR="00CD36E3">
        <w:t>lie</w:t>
      </w:r>
      <w:r w:rsidR="00AB60F9">
        <w:t>, for example,</w:t>
      </w:r>
      <w:r w:rsidR="00222D4C">
        <w:t xml:space="preserve"> </w:t>
      </w:r>
      <w:r w:rsidR="00B55230">
        <w:t xml:space="preserve">in considerations of </w:t>
      </w:r>
      <w:r w:rsidR="00222D4C">
        <w:t>paternal authority</w:t>
      </w:r>
      <w:r w:rsidR="00841676">
        <w:t xml:space="preserve"> or </w:t>
      </w:r>
      <w:r w:rsidR="00B55230">
        <w:t xml:space="preserve">prevailing </w:t>
      </w:r>
      <w:r w:rsidR="00841676">
        <w:t>societal norms</w:t>
      </w:r>
      <w:r w:rsidR="00D40088">
        <w:t xml:space="preserve"> regarding responsibility for children a</w:t>
      </w:r>
      <w:r w:rsidR="00AB60F9">
        <w:t>t</w:t>
      </w:r>
      <w:r w:rsidR="00D40088">
        <w:t xml:space="preserve"> different ages</w:t>
      </w:r>
      <w:r w:rsidR="003F6E58">
        <w:t>.</w:t>
      </w:r>
      <w:r w:rsidR="00C413AA">
        <w:t xml:space="preserve"> </w:t>
      </w:r>
      <w:r w:rsidR="002B1965">
        <w:t>Hence t</w:t>
      </w:r>
      <w:r w:rsidR="00C413AA" w:rsidRPr="007B3262">
        <w:t xml:space="preserve">he rather weak requirement of CRC Art 11.2 that States “promote […] accession to existing agreements” – an implicit reference to the </w:t>
      </w:r>
      <w:r w:rsidR="00BC5A02">
        <w:t>HAC</w:t>
      </w:r>
      <w:r w:rsidR="00A466A3">
        <w:t>.</w:t>
      </w:r>
    </w:p>
    <w:p w14:paraId="68DB2928" w14:textId="38C4CD35" w:rsidR="00F33762" w:rsidRDefault="008352AB" w:rsidP="00F33762">
      <w:r>
        <w:t xml:space="preserve">Strictly speaking, </w:t>
      </w:r>
      <w:r w:rsidR="005C6B89">
        <w:t xml:space="preserve">BIC under </w:t>
      </w:r>
      <w:r w:rsidR="00B30E5C">
        <w:t xml:space="preserve">CRC Art 11 would </w:t>
      </w:r>
      <w:r w:rsidR="005C6B89">
        <w:t>be “a primary consideration”</w:t>
      </w:r>
      <w:r w:rsidR="00FC1698">
        <w:t xml:space="preserve"> for decision-making on the child’s situation</w:t>
      </w:r>
      <w:r w:rsidR="00EF4801">
        <w:t xml:space="preserve">, </w:t>
      </w:r>
      <w:r w:rsidR="004558B7">
        <w:t xml:space="preserve">since </w:t>
      </w:r>
      <w:r w:rsidR="002B0953">
        <w:t>there</w:t>
      </w:r>
      <w:r w:rsidR="004558B7">
        <w:t xml:space="preserve"> is no stipulat</w:t>
      </w:r>
      <w:r w:rsidR="002B0953">
        <w:t>ion</w:t>
      </w:r>
      <w:r w:rsidR="00013D7A">
        <w:t xml:space="preserve"> in that provision</w:t>
      </w:r>
      <w:r w:rsidR="002B0953">
        <w:t xml:space="preserve"> that it be the determining facto</w:t>
      </w:r>
      <w:r w:rsidR="00D856A4">
        <w:t>r</w:t>
      </w:r>
      <w:r w:rsidR="004558B7">
        <w:t>. That said,</w:t>
      </w:r>
      <w:r w:rsidR="00EF4801">
        <w:t xml:space="preserve"> the tenor of</w:t>
      </w:r>
      <w:r w:rsidR="00CF7B14">
        <w:t xml:space="preserve"> preceding articles 9 and 10</w:t>
      </w:r>
      <w:r w:rsidR="00E250AA">
        <w:t xml:space="preserve"> (regarding</w:t>
      </w:r>
      <w:r w:rsidR="0015083E">
        <w:t xml:space="preserve"> the rights of the child in cases of</w:t>
      </w:r>
      <w:r w:rsidR="00E250AA">
        <w:t xml:space="preserve"> separation from one or both parents and </w:t>
      </w:r>
      <w:r w:rsidR="00D334BC">
        <w:t xml:space="preserve">to </w:t>
      </w:r>
      <w:r w:rsidR="00E250AA">
        <w:t>contact</w:t>
      </w:r>
      <w:r w:rsidR="0015083E">
        <w:t xml:space="preserve"> with both</w:t>
      </w:r>
      <w:r w:rsidR="008742B3">
        <w:t xml:space="preserve">, </w:t>
      </w:r>
      <w:r w:rsidR="006A010F">
        <w:t>explicitly</w:t>
      </w:r>
      <w:r w:rsidR="00C965E9">
        <w:t xml:space="preserve"> subject</w:t>
      </w:r>
      <w:r w:rsidR="008742B3">
        <w:t xml:space="preserve"> to</w:t>
      </w:r>
      <w:r w:rsidR="00C965E9">
        <w:t xml:space="preserve"> the child’s best interests</w:t>
      </w:r>
      <w:r w:rsidR="0015083E">
        <w:t>)</w:t>
      </w:r>
      <w:r w:rsidR="00375FFD">
        <w:t xml:space="preserve"> </w:t>
      </w:r>
      <w:r w:rsidR="00445DEA">
        <w:t xml:space="preserve">arguably </w:t>
      </w:r>
      <w:r w:rsidR="00EC2B2F">
        <w:t>sets the scene</w:t>
      </w:r>
      <w:r w:rsidR="00E91604">
        <w:t xml:space="preserve"> for paramountcy</w:t>
      </w:r>
      <w:r w:rsidR="006F5CEE">
        <w:t xml:space="preserve"> in abduction cases</w:t>
      </w:r>
      <w:r w:rsidR="00E91604">
        <w:t xml:space="preserve">, as does, obviously, the </w:t>
      </w:r>
      <w:r w:rsidR="00493968">
        <w:t xml:space="preserve">above-mentioned </w:t>
      </w:r>
      <w:r w:rsidR="00CB7EC7">
        <w:t>pre-CRC</w:t>
      </w:r>
      <w:r w:rsidR="00531A9E">
        <w:t xml:space="preserve"> </w:t>
      </w:r>
      <w:r w:rsidR="002825BC">
        <w:t xml:space="preserve">reference to “the paramount importance” </w:t>
      </w:r>
      <w:r w:rsidR="00493968">
        <w:t xml:space="preserve">of the child’s interests in the </w:t>
      </w:r>
      <w:r w:rsidR="00445DEA">
        <w:t>HAC</w:t>
      </w:r>
      <w:r w:rsidR="00493968">
        <w:t>.</w:t>
      </w:r>
    </w:p>
    <w:p w14:paraId="6295DA7B" w14:textId="13BACB02" w:rsidR="000B1632" w:rsidRPr="000B1632" w:rsidRDefault="000827A7" w:rsidP="00F33762">
      <w:r>
        <w:t xml:space="preserve">But the question of how, </w:t>
      </w:r>
      <w:r w:rsidR="00C74AD3">
        <w:t>i</w:t>
      </w:r>
      <w:r w:rsidR="000B1632" w:rsidRPr="000B1632">
        <w:t xml:space="preserve">n practice, each of these processes </w:t>
      </w:r>
      <w:r w:rsidR="00C74AD3">
        <w:t xml:space="preserve">is </w:t>
      </w:r>
      <w:r w:rsidR="000B1632" w:rsidRPr="000B1632">
        <w:t>managed and what weight is given to BIC determination by the courts</w:t>
      </w:r>
      <w:r w:rsidR="008B2F55">
        <w:t xml:space="preserve"> </w:t>
      </w:r>
      <w:r w:rsidR="006D0E6A">
        <w:t xml:space="preserve">remains </w:t>
      </w:r>
      <w:r w:rsidR="00473AE0">
        <w:t>whole.</w:t>
      </w:r>
      <w:r w:rsidR="000B1632" w:rsidRPr="000B1632">
        <w:t xml:space="preserve">                                                       </w:t>
      </w:r>
    </w:p>
    <w:p w14:paraId="1D6D100A" w14:textId="30E37EE1" w:rsidR="000B1632" w:rsidRPr="00985750" w:rsidRDefault="00985750" w:rsidP="000B1632">
      <w:pPr>
        <w:rPr>
          <w:b/>
          <w:bCs/>
        </w:rPr>
      </w:pPr>
      <w:r w:rsidRPr="00985750">
        <w:rPr>
          <w:b/>
          <w:bCs/>
        </w:rPr>
        <w:t>Key challenges in cross-border situations</w:t>
      </w:r>
    </w:p>
    <w:p w14:paraId="08388B57" w14:textId="0E2F6410" w:rsidR="00A26A19" w:rsidRDefault="005E6438" w:rsidP="000B1632">
      <w:r>
        <w:t>As we have seen., t</w:t>
      </w:r>
      <w:r w:rsidR="004F06CD">
        <w:t>he</w:t>
      </w:r>
      <w:r w:rsidR="00D65B98">
        <w:t>re is no shortage of</w:t>
      </w:r>
      <w:r w:rsidR="004F06CD">
        <w:t xml:space="preserve"> challenges for </w:t>
      </w:r>
      <w:r w:rsidR="000D73E2">
        <w:t>the</w:t>
      </w:r>
      <w:r w:rsidR="004F06CD">
        <w:t xml:space="preserve"> </w:t>
      </w:r>
      <w:r w:rsidR="00197E71">
        <w:t>assess</w:t>
      </w:r>
      <w:r w:rsidR="00C74BAA">
        <w:t>ment</w:t>
      </w:r>
      <w:r w:rsidR="00197E71">
        <w:t xml:space="preserve"> and determin</w:t>
      </w:r>
      <w:r w:rsidR="00C74BAA">
        <w:t>ation of</w:t>
      </w:r>
      <w:r w:rsidR="00197E71">
        <w:t xml:space="preserve"> </w:t>
      </w:r>
      <w:r w:rsidR="003544A9">
        <w:t xml:space="preserve">the best interests </w:t>
      </w:r>
      <w:r w:rsidR="000D73E2">
        <w:t>of children in cross-border situations</w:t>
      </w:r>
      <w:r w:rsidR="00C74BAA">
        <w:t>. Some are generic</w:t>
      </w:r>
      <w:r>
        <w:t xml:space="preserve"> (and even inherent)</w:t>
      </w:r>
      <w:r w:rsidR="00C74BAA">
        <w:t xml:space="preserve"> </w:t>
      </w:r>
      <w:r w:rsidR="00437B36">
        <w:t xml:space="preserve">to BIA and BID in all circumstances, </w:t>
      </w:r>
      <w:r w:rsidR="00164756">
        <w:t xml:space="preserve">others </w:t>
      </w:r>
      <w:r w:rsidR="00CA3752">
        <w:t xml:space="preserve">more </w:t>
      </w:r>
      <w:r w:rsidR="007B1B79">
        <w:t xml:space="preserve">specific to </w:t>
      </w:r>
      <w:r w:rsidR="00073021">
        <w:t>cross-border movement.</w:t>
      </w:r>
      <w:r w:rsidR="00BD40C5">
        <w:t xml:space="preserve"> </w:t>
      </w:r>
      <w:r w:rsidR="000C2E85">
        <w:t>I</w:t>
      </w:r>
      <w:r w:rsidR="0026443A">
        <w:t>n both cases</w:t>
      </w:r>
      <w:r w:rsidR="005D02AB">
        <w:t>, many</w:t>
      </w:r>
      <w:r w:rsidR="00282348">
        <w:t xml:space="preserve"> </w:t>
      </w:r>
      <w:r w:rsidR="00DC3DFC">
        <w:t>challenges</w:t>
      </w:r>
      <w:r w:rsidR="005D02AB">
        <w:t xml:space="preserve"> are </w:t>
      </w:r>
      <w:r w:rsidR="009171B5">
        <w:t xml:space="preserve">further </w:t>
      </w:r>
      <w:r w:rsidR="005D02AB">
        <w:t xml:space="preserve">enhanced </w:t>
      </w:r>
      <w:r w:rsidR="00D62798">
        <w:t xml:space="preserve">where international </w:t>
      </w:r>
      <w:r w:rsidR="009171B5">
        <w:t>abduction is concerned.</w:t>
      </w:r>
    </w:p>
    <w:p w14:paraId="6800B83F" w14:textId="4B4059E9" w:rsidR="000B1632" w:rsidRDefault="006C6096" w:rsidP="006C6096">
      <w:r>
        <w:t xml:space="preserve">The fundamental challenge is ensuring that there is </w:t>
      </w:r>
      <w:r w:rsidR="000B1632" w:rsidRPr="000B1632">
        <w:t>a professional BIC assessment and determination process</w:t>
      </w:r>
      <w:r w:rsidR="00624F64">
        <w:t xml:space="preserve"> carried out</w:t>
      </w:r>
      <w:r w:rsidR="000B1632" w:rsidRPr="000B1632">
        <w:t xml:space="preserve"> by a multi-disciplinary team</w:t>
      </w:r>
      <w:r w:rsidR="00624F64">
        <w:t>. These are skilled</w:t>
      </w:r>
      <w:r w:rsidR="008F1194">
        <w:t>, labour-intensi</w:t>
      </w:r>
      <w:r w:rsidR="006349A2">
        <w:t>ve</w:t>
      </w:r>
      <w:r w:rsidR="00624F64">
        <w:t xml:space="preserve"> tasks</w:t>
      </w:r>
      <w:r w:rsidR="009B3A65">
        <w:t xml:space="preserve"> and in no way “ticking</w:t>
      </w:r>
      <w:r w:rsidR="006349A2">
        <w:t xml:space="preserve"> </w:t>
      </w:r>
      <w:r w:rsidR="009B3A65">
        <w:t>the</w:t>
      </w:r>
      <w:r w:rsidR="006349A2">
        <w:t xml:space="preserve"> </w:t>
      </w:r>
      <w:r w:rsidR="009B3A65">
        <w:t xml:space="preserve">boxes” exercises. </w:t>
      </w:r>
      <w:r w:rsidR="00E86E3D">
        <w:t>If</w:t>
      </w:r>
      <w:r w:rsidR="006349A2">
        <w:t xml:space="preserve"> </w:t>
      </w:r>
      <w:r w:rsidR="00C92FAE">
        <w:t>the</w:t>
      </w:r>
      <w:r w:rsidR="00E86E3D">
        <w:t xml:space="preserve">y are not undertaken by well-prepared team members, </w:t>
      </w:r>
      <w:r w:rsidR="00607DC9">
        <w:t>there is a high risk that</w:t>
      </w:r>
      <w:r w:rsidR="003C595D">
        <w:t xml:space="preserve"> decisions will be made</w:t>
      </w:r>
      <w:r w:rsidR="003430F8">
        <w:t xml:space="preserve"> on the basis of</w:t>
      </w:r>
      <w:r w:rsidR="00607DC9">
        <w:t xml:space="preserve"> subjective </w:t>
      </w:r>
      <w:r w:rsidR="003430F8">
        <w:t>criteria</w:t>
      </w:r>
      <w:r w:rsidR="002E4170">
        <w:t xml:space="preserve"> and considerations</w:t>
      </w:r>
      <w:r w:rsidR="00763B51">
        <w:t xml:space="preserve">, much </w:t>
      </w:r>
      <w:r w:rsidR="002E4170">
        <w:t>as</w:t>
      </w:r>
      <w:r w:rsidR="00763B51">
        <w:t xml:space="preserve"> they were in pre-CRC days</w:t>
      </w:r>
      <w:r w:rsidR="002A1016">
        <w:t xml:space="preserve">, which renders them </w:t>
      </w:r>
      <w:r w:rsidR="0053093F">
        <w:t>at best questionable</w:t>
      </w:r>
      <w:r w:rsidR="00AE1E53">
        <w:t xml:space="preserve"> from a human rights standpoint</w:t>
      </w:r>
      <w:r w:rsidR="002A1016">
        <w:t xml:space="preserve">. </w:t>
      </w:r>
      <w:r w:rsidR="001F6D80">
        <w:t>M</w:t>
      </w:r>
      <w:r w:rsidR="009C7605">
        <w:t xml:space="preserve">any, if not most, countries </w:t>
      </w:r>
      <w:r w:rsidR="00C053C5">
        <w:t xml:space="preserve">find it difficult to put at disposal the human resources </w:t>
      </w:r>
      <w:r w:rsidR="00E27F73">
        <w:t xml:space="preserve">required, however, </w:t>
      </w:r>
      <w:r w:rsidR="00A76CDF">
        <w:t xml:space="preserve">especially in emergency situations or </w:t>
      </w:r>
      <w:r w:rsidR="00627FBF">
        <w:t>in the face of mass movements.</w:t>
      </w:r>
      <w:r w:rsidR="001F6D80">
        <w:t xml:space="preserve"> </w:t>
      </w:r>
      <w:r w:rsidR="00DF3770">
        <w:t xml:space="preserve">Even under “normal” </w:t>
      </w:r>
      <w:r w:rsidR="00CD1114">
        <w:t>circumstances</w:t>
      </w:r>
      <w:r w:rsidR="00DF3770">
        <w:t xml:space="preserve">, economically disadvantaged </w:t>
      </w:r>
      <w:r w:rsidR="00CD1114">
        <w:t>countries are hard-pressed</w:t>
      </w:r>
      <w:r w:rsidR="00A154CA">
        <w:t xml:space="preserve"> to secure robust assessments</w:t>
      </w:r>
      <w:r w:rsidR="00AF6395">
        <w:t>. W</w:t>
      </w:r>
      <w:r w:rsidR="00A154CA">
        <w:t>hen there is one</w:t>
      </w:r>
      <w:r w:rsidR="00AF6395">
        <w:t xml:space="preserve"> trained</w:t>
      </w:r>
      <w:r w:rsidR="00A154CA">
        <w:t xml:space="preserve"> social worker for </w:t>
      </w:r>
      <w:r w:rsidR="006162D2">
        <w:t>several</w:t>
      </w:r>
      <w:r w:rsidR="00A154CA">
        <w:t xml:space="preserve"> thousand</w:t>
      </w:r>
      <w:r w:rsidR="00ED585B">
        <w:t xml:space="preserve"> </w:t>
      </w:r>
      <w:r w:rsidR="00001ACB">
        <w:t>population</w:t>
      </w:r>
      <w:r w:rsidR="00ED585B">
        <w:t xml:space="preserve">, </w:t>
      </w:r>
      <w:r w:rsidR="006D3D64">
        <w:t>a common situation, it is</w:t>
      </w:r>
      <w:r w:rsidR="00AF6395">
        <w:t xml:space="preserve"> well-nigh</w:t>
      </w:r>
      <w:r w:rsidR="006D3D64">
        <w:t xml:space="preserve"> impossible </w:t>
      </w:r>
      <w:r w:rsidR="007A24BF">
        <w:t xml:space="preserve">to envisage that professional </w:t>
      </w:r>
      <w:r w:rsidR="00D1578B">
        <w:t xml:space="preserve">being able to </w:t>
      </w:r>
      <w:r w:rsidR="007A24BF">
        <w:t>devot</w:t>
      </w:r>
      <w:r w:rsidR="00626B43">
        <w:t>e</w:t>
      </w:r>
      <w:r w:rsidR="007A24BF">
        <w:t xml:space="preserve"> </w:t>
      </w:r>
      <w:r w:rsidR="002F042E">
        <w:t xml:space="preserve">the </w:t>
      </w:r>
      <w:r w:rsidR="00EA1B50">
        <w:t>hours</w:t>
      </w:r>
      <w:r w:rsidR="002F042E">
        <w:t xml:space="preserve"> necessary</w:t>
      </w:r>
      <w:r w:rsidR="00EA1B50">
        <w:t xml:space="preserve"> to deal</w:t>
      </w:r>
      <w:r w:rsidR="00951DFE">
        <w:t xml:space="preserve"> </w:t>
      </w:r>
      <w:r w:rsidR="00F75D0F">
        <w:t>thoroughly</w:t>
      </w:r>
      <w:r w:rsidR="00EA1B50">
        <w:t xml:space="preserve"> with an individual assessment.</w:t>
      </w:r>
    </w:p>
    <w:p w14:paraId="7EA92EDC" w14:textId="5716D7E7" w:rsidR="000B1632" w:rsidRDefault="00C16DF4" w:rsidP="006660EA">
      <w:r>
        <w:t xml:space="preserve">This means that another essential </w:t>
      </w:r>
      <w:r w:rsidR="0077226E">
        <w:t>component</w:t>
      </w:r>
      <w:r>
        <w:t xml:space="preserve"> of a BID</w:t>
      </w:r>
      <w:r w:rsidR="006660EA">
        <w:t xml:space="preserve">-based decision </w:t>
      </w:r>
      <w:r w:rsidR="00BE20A7">
        <w:t>may be</w:t>
      </w:r>
      <w:r w:rsidR="003137DF">
        <w:t xml:space="preserve"> severely</w:t>
      </w:r>
      <w:r w:rsidR="006660EA">
        <w:t xml:space="preserve"> jeopardised: e</w:t>
      </w:r>
      <w:r w:rsidR="000B1632" w:rsidRPr="000B1632">
        <w:t>nsuring the child’s voice is heard under appropriate conditions and</w:t>
      </w:r>
      <w:r w:rsidR="0077226E">
        <w:t xml:space="preserve"> then</w:t>
      </w:r>
      <w:r w:rsidR="000B1632" w:rsidRPr="000B1632">
        <w:t xml:space="preserve"> taken</w:t>
      </w:r>
      <w:r w:rsidR="008840B8">
        <w:t xml:space="preserve"> fully</w:t>
      </w:r>
      <w:r w:rsidR="000B1632" w:rsidRPr="000B1632">
        <w:t xml:space="preserve"> into account</w:t>
      </w:r>
      <w:r w:rsidR="0077226E">
        <w:t>.</w:t>
      </w:r>
      <w:r w:rsidR="0062523B">
        <w:t xml:space="preserve"> </w:t>
      </w:r>
      <w:r w:rsidR="001D6D81">
        <w:lastRenderedPageBreak/>
        <w:t>Following a traumatic event</w:t>
      </w:r>
      <w:r w:rsidR="009B65CB">
        <w:t xml:space="preserve"> and in situations where undue </w:t>
      </w:r>
      <w:r w:rsidR="00373521">
        <w:t xml:space="preserve">influence may be exerted on the child, </w:t>
      </w:r>
      <w:r w:rsidR="003913BC">
        <w:t xml:space="preserve">it is </w:t>
      </w:r>
      <w:r w:rsidR="00D358B6">
        <w:t>particularly</w:t>
      </w:r>
      <w:r w:rsidR="003913BC">
        <w:t xml:space="preserve"> vital that</w:t>
      </w:r>
      <w:r w:rsidR="00232F00">
        <w:t xml:space="preserve"> the setting in which the child is invited to express their opinions and wishes </w:t>
      </w:r>
      <w:r w:rsidR="00EA1552">
        <w:t>generates</w:t>
      </w:r>
      <w:r w:rsidR="004D1433">
        <w:t xml:space="preserve"> a </w:t>
      </w:r>
      <w:r w:rsidR="000A1C5B">
        <w:t xml:space="preserve">feeling of security and trust. </w:t>
      </w:r>
      <w:r w:rsidR="00EA1552">
        <w:t xml:space="preserve">This is </w:t>
      </w:r>
      <w:r w:rsidR="00E23D76">
        <w:t>by no means</w:t>
      </w:r>
      <w:r w:rsidR="00EA1552">
        <w:t xml:space="preserve"> just a question of </w:t>
      </w:r>
      <w:r w:rsidR="00040E13">
        <w:t>provid</w:t>
      </w:r>
      <w:r w:rsidR="000F00F3">
        <w:t>in</w:t>
      </w:r>
      <w:r w:rsidR="00F03429">
        <w:t>g</w:t>
      </w:r>
      <w:r w:rsidR="00040E13">
        <w:t xml:space="preserve"> a confidential and reassuring space.</w:t>
      </w:r>
      <w:r w:rsidR="004A0CF5">
        <w:t xml:space="preserve"> </w:t>
      </w:r>
      <w:r w:rsidR="00EB6C6E">
        <w:t xml:space="preserve">The “setting” includes </w:t>
      </w:r>
      <w:r w:rsidR="009D0256">
        <w:t xml:space="preserve">the attitude </w:t>
      </w:r>
      <w:r w:rsidR="00354F7C">
        <w:t xml:space="preserve">and </w:t>
      </w:r>
      <w:r w:rsidR="00FC5560">
        <w:t xml:space="preserve">preparedness </w:t>
      </w:r>
      <w:r w:rsidR="00CC7B6A">
        <w:t>of the persons conducting the exercise.</w:t>
      </w:r>
      <w:r w:rsidR="008A41DD">
        <w:t xml:space="preserve"> </w:t>
      </w:r>
      <w:r w:rsidR="00563985">
        <w:t>Notably</w:t>
      </w:r>
      <w:r w:rsidR="008A41DD">
        <w:t xml:space="preserve">, as the CRC Committee has </w:t>
      </w:r>
      <w:r w:rsidR="0090442B">
        <w:t>established</w:t>
      </w:r>
      <w:r w:rsidR="0090442B">
        <w:rPr>
          <w:rStyle w:val="Funotenzeichen"/>
        </w:rPr>
        <w:footnoteReference w:id="2"/>
      </w:r>
      <w:r w:rsidR="003B47CF">
        <w:t>,</w:t>
      </w:r>
      <w:r w:rsidR="00CC5BED">
        <w:t xml:space="preserve"> the “right to be heard” applies to all children</w:t>
      </w:r>
      <w:r w:rsidR="007B1C35">
        <w:t>:</w:t>
      </w:r>
      <w:r w:rsidR="00FD4A8F">
        <w:t xml:space="preserve"> </w:t>
      </w:r>
      <w:r w:rsidR="00D249E5">
        <w:t xml:space="preserve">a child’s wishes and opinion can </w:t>
      </w:r>
      <w:r w:rsidR="00060FFA">
        <w:t xml:space="preserve">potentially </w:t>
      </w:r>
      <w:r w:rsidR="00D249E5">
        <w:t xml:space="preserve">be gleaned </w:t>
      </w:r>
      <w:r w:rsidR="00060FFA">
        <w:t>from interacti</w:t>
      </w:r>
      <w:r w:rsidR="001A52CD">
        <w:t>on</w:t>
      </w:r>
      <w:r w:rsidR="00060FFA">
        <w:t xml:space="preserve"> with suitably qualified professionals </w:t>
      </w:r>
      <w:r w:rsidR="001A52CD">
        <w:t>regardless of that child’s age</w:t>
      </w:r>
      <w:r w:rsidR="00552861">
        <w:t>,</w:t>
      </w:r>
      <w:r w:rsidR="001A52CD">
        <w:t xml:space="preserve"> ability</w:t>
      </w:r>
      <w:r w:rsidR="00552861">
        <w:t xml:space="preserve"> or sta</w:t>
      </w:r>
      <w:r w:rsidR="00950A87">
        <w:t xml:space="preserve">tus (e.g. </w:t>
      </w:r>
      <w:r w:rsidR="001657C2">
        <w:t xml:space="preserve">as a migrant or otherwise </w:t>
      </w:r>
      <w:r w:rsidR="005D5C77">
        <w:t>in a third country)</w:t>
      </w:r>
      <w:r w:rsidR="001A52CD">
        <w:t>.</w:t>
      </w:r>
    </w:p>
    <w:p w14:paraId="095CB518" w14:textId="05322091" w:rsidR="00A225BB" w:rsidRDefault="00FB1046" w:rsidP="00A225BB">
      <w:r>
        <w:t xml:space="preserve">For this </w:t>
      </w:r>
      <w:r w:rsidR="00F70B14">
        <w:t>exercise to be meaningful</w:t>
      </w:r>
      <w:r w:rsidR="00671AA7">
        <w:t xml:space="preserve"> with children who can interact verbally</w:t>
      </w:r>
      <w:r w:rsidR="00314AE2">
        <w:t xml:space="preserve">, </w:t>
      </w:r>
      <w:r w:rsidR="00A225BB">
        <w:t xml:space="preserve">at least two </w:t>
      </w:r>
      <w:r w:rsidR="00A225BB" w:rsidRPr="000B1632">
        <w:t>viable options</w:t>
      </w:r>
      <w:r w:rsidR="00F42DA5">
        <w:t xml:space="preserve"> </w:t>
      </w:r>
      <w:r w:rsidR="00551200">
        <w:t xml:space="preserve">must be </w:t>
      </w:r>
      <w:r w:rsidR="003A183E">
        <w:t>available,</w:t>
      </w:r>
      <w:r w:rsidR="00F42DA5">
        <w:t xml:space="preserve"> </w:t>
      </w:r>
      <w:r w:rsidR="00A1151E">
        <w:t>and each must be communicated to the child in a way that they can understand</w:t>
      </w:r>
      <w:r w:rsidR="00E03B80">
        <w:t xml:space="preserve"> and discuss</w:t>
      </w:r>
      <w:r w:rsidR="00A1151E">
        <w:t xml:space="preserve"> </w:t>
      </w:r>
      <w:r w:rsidR="00281AD7">
        <w:t>its implications.</w:t>
      </w:r>
      <w:r w:rsidR="003A183E">
        <w:t xml:space="preserve"> </w:t>
      </w:r>
      <w:r w:rsidR="007B60F7">
        <w:t>For children in cross-border situations</w:t>
      </w:r>
      <w:r w:rsidR="001A769E">
        <w:t xml:space="preserve"> in particular</w:t>
      </w:r>
      <w:r w:rsidR="007B60F7">
        <w:t xml:space="preserve">, </w:t>
      </w:r>
      <w:r w:rsidR="00075122">
        <w:t>such</w:t>
      </w:r>
      <w:r w:rsidR="007B60F7">
        <w:t xml:space="preserve"> options may be extremely limited</w:t>
      </w:r>
      <w:r w:rsidR="00075122">
        <w:t xml:space="preserve"> due to legislation</w:t>
      </w:r>
      <w:r w:rsidR="00E30800">
        <w:t>,</w:t>
      </w:r>
      <w:r w:rsidR="00075122">
        <w:t xml:space="preserve"> policy</w:t>
      </w:r>
      <w:r w:rsidR="00E30800">
        <w:t xml:space="preserve"> or quite simply practical provision</w:t>
      </w:r>
      <w:r w:rsidR="00ED64A2">
        <w:t xml:space="preserve">. </w:t>
      </w:r>
      <w:proofErr w:type="gramStart"/>
      <w:r w:rsidR="00C2322E">
        <w:t>In  many</w:t>
      </w:r>
      <w:proofErr w:type="gramEnd"/>
      <w:r w:rsidR="00C2322E">
        <w:t xml:space="preserve"> cases,</w:t>
      </w:r>
      <w:r w:rsidR="007C5002">
        <w:t xml:space="preserve"> to all intents and purposes</w:t>
      </w:r>
      <w:r w:rsidR="00645563">
        <w:t>,</w:t>
      </w:r>
      <w:r w:rsidR="00C2322E">
        <w:t xml:space="preserve"> their “best interests” will </w:t>
      </w:r>
      <w:r w:rsidR="009735BE">
        <w:t>thus be settled</w:t>
      </w:r>
      <w:r w:rsidR="00075122">
        <w:t xml:space="preserve"> </w:t>
      </w:r>
      <w:r w:rsidR="00E70E6D">
        <w:t>before they are determined.</w:t>
      </w:r>
    </w:p>
    <w:p w14:paraId="6034FA14" w14:textId="7D498D3A" w:rsidR="000B1632" w:rsidRPr="000B1632" w:rsidRDefault="00191FC7" w:rsidP="009B201B">
      <w:r>
        <w:t xml:space="preserve">As mentioned, </w:t>
      </w:r>
      <w:r w:rsidR="004D6BFF">
        <w:t>differing</w:t>
      </w:r>
      <w:r w:rsidR="000B1632" w:rsidRPr="000B1632">
        <w:t xml:space="preserve"> socio-cultural </w:t>
      </w:r>
      <w:r w:rsidR="004D6BFF">
        <w:t xml:space="preserve">appreciations of </w:t>
      </w:r>
      <w:r w:rsidR="0097435A">
        <w:t xml:space="preserve">best interests constitute a further </w:t>
      </w:r>
      <w:r w:rsidR="009916CD">
        <w:t>difficulty</w:t>
      </w:r>
      <w:r w:rsidR="00DB0CF0">
        <w:t xml:space="preserve">. Even </w:t>
      </w:r>
      <w:r w:rsidR="00C9300C">
        <w:t xml:space="preserve">if </w:t>
      </w:r>
      <w:r w:rsidR="00962DCE">
        <w:t>clear criteria for decision-making were to be universally accepted and applied</w:t>
      </w:r>
      <w:r w:rsidR="00BA0D8A">
        <w:t xml:space="preserve">, socio-cultural bias </w:t>
      </w:r>
      <w:r w:rsidR="00762ADB">
        <w:t>would remain</w:t>
      </w:r>
      <w:r w:rsidR="00BF53F1">
        <w:t>.</w:t>
      </w:r>
      <w:r w:rsidR="00762ADB">
        <w:t xml:space="preserve"> </w:t>
      </w:r>
      <w:r w:rsidR="00993679">
        <w:t xml:space="preserve">In carrying out a BID, </w:t>
      </w:r>
      <w:r w:rsidR="005A6270">
        <w:t xml:space="preserve">those responsible in some societies </w:t>
      </w:r>
      <w:r w:rsidR="00654877">
        <w:t>may</w:t>
      </w:r>
      <w:r w:rsidR="005A6270">
        <w:t xml:space="preserve"> place </w:t>
      </w:r>
      <w:r w:rsidR="000E1AB2">
        <w:t>a very different</w:t>
      </w:r>
      <w:r w:rsidR="005A6270">
        <w:t xml:space="preserve"> emphasis on quali</w:t>
      </w:r>
      <w:r w:rsidR="00572270">
        <w:t xml:space="preserve">ty of care considerations </w:t>
      </w:r>
      <w:r w:rsidR="000E1AB2">
        <w:t>as opposed to</w:t>
      </w:r>
      <w:r w:rsidR="00572270">
        <w:t xml:space="preserve"> who does the caring</w:t>
      </w:r>
      <w:r w:rsidR="00E8658C" w:rsidRPr="004C6780">
        <w:t>.</w:t>
      </w:r>
    </w:p>
    <w:p w14:paraId="25233B72" w14:textId="48CA9D73" w:rsidR="00EF3B9E" w:rsidRDefault="00EF3B9E" w:rsidP="00EF3B9E">
      <w:r>
        <w:t xml:space="preserve">A </w:t>
      </w:r>
      <w:r w:rsidR="005F2DC2">
        <w:t xml:space="preserve">particularly delicate </w:t>
      </w:r>
      <w:r w:rsidR="00701C09">
        <w:t xml:space="preserve">question to face is the CRC Committee’s </w:t>
      </w:r>
      <w:r w:rsidRPr="000B1632">
        <w:t xml:space="preserve">injunction to avoid irrevocable decisions </w:t>
      </w:r>
      <w:r w:rsidR="00083370">
        <w:t xml:space="preserve">on the basis of a one-off BIA. </w:t>
      </w:r>
      <w:r w:rsidR="00C7589D">
        <w:t>This works well</w:t>
      </w:r>
      <w:r w:rsidR="002763FA">
        <w:t>, for example, whe</w:t>
      </w:r>
      <w:r w:rsidR="001D09B4">
        <w:t>n</w:t>
      </w:r>
      <w:r w:rsidR="002763FA">
        <w:t xml:space="preserve"> there is a BID-based decision that a child should </w:t>
      </w:r>
      <w:r w:rsidR="00A3245B">
        <w:t>move into an alternative care setting which will automatically be the subject of regular review</w:t>
      </w:r>
      <w:r w:rsidR="00AF1262">
        <w:t xml:space="preserve"> to ensure that the placement is still suitable and required. But trying to </w:t>
      </w:r>
      <w:r w:rsidR="001E67C1">
        <w:t>respect</w:t>
      </w:r>
      <w:r w:rsidR="00EF3AB8">
        <w:t xml:space="preserve"> the spirit behind the Committee’s </w:t>
      </w:r>
      <w:r w:rsidR="003B5412">
        <w:t>thinking when the outcomes proposed are</w:t>
      </w:r>
      <w:r w:rsidR="00785818">
        <w:t xml:space="preserve"> themselves</w:t>
      </w:r>
      <w:r w:rsidR="003B5412">
        <w:t xml:space="preserve"> </w:t>
      </w:r>
      <w:r w:rsidR="00D500AE">
        <w:t>inherently long-term and not subject to</w:t>
      </w:r>
      <w:r w:rsidR="00362D56">
        <w:t xml:space="preserve"> compulsory</w:t>
      </w:r>
      <w:r w:rsidR="00D500AE">
        <w:t xml:space="preserve"> constant review </w:t>
      </w:r>
      <w:r w:rsidR="00D53470">
        <w:t>–</w:t>
      </w:r>
      <w:r w:rsidR="00D500AE">
        <w:t xml:space="preserve"> </w:t>
      </w:r>
      <w:r w:rsidR="00D53470">
        <w:t>such as custody issue</w:t>
      </w:r>
      <w:r w:rsidR="002470C5">
        <w:t xml:space="preserve">s, </w:t>
      </w:r>
      <w:r w:rsidR="00D53470">
        <w:t xml:space="preserve">adoption </w:t>
      </w:r>
      <w:r w:rsidR="002470C5">
        <w:t xml:space="preserve">and country of residence </w:t>
      </w:r>
      <w:r w:rsidR="009B6C68">
        <w:t>–</w:t>
      </w:r>
      <w:r w:rsidR="002470C5">
        <w:t xml:space="preserve"> </w:t>
      </w:r>
      <w:r w:rsidR="009B6C68">
        <w:t>creates dilemmas that are not easy to resolve.</w:t>
      </w:r>
      <w:r w:rsidR="00141D25">
        <w:t xml:space="preserve"> Perhaps </w:t>
      </w:r>
      <w:r w:rsidR="00141D25" w:rsidRPr="00C91F93">
        <w:t>we shou</w:t>
      </w:r>
      <w:r w:rsidR="00B429B9" w:rsidRPr="00C91F93">
        <w:t xml:space="preserve">ld </w:t>
      </w:r>
      <w:r w:rsidR="00325DDC" w:rsidRPr="00C91F93">
        <w:t xml:space="preserve">simply </w:t>
      </w:r>
      <w:r w:rsidR="00B429B9" w:rsidRPr="00C91F93">
        <w:t>decide that</w:t>
      </w:r>
      <w:r w:rsidR="00FC44CF">
        <w:t xml:space="preserve"> it cannot be applicable in such cases, </w:t>
      </w:r>
      <w:r w:rsidR="003B349D">
        <w:t>which would mean taking</w:t>
      </w:r>
      <w:r w:rsidR="008C424A">
        <w:t xml:space="preserve"> very special care </w:t>
      </w:r>
      <w:r w:rsidR="00C619A0">
        <w:t>when carrying out a</w:t>
      </w:r>
      <w:r w:rsidR="00223DF4">
        <w:t xml:space="preserve"> BID with </w:t>
      </w:r>
      <w:r w:rsidR="003005DF">
        <w:t>quasi-permanent ramifications.</w:t>
      </w:r>
    </w:p>
    <w:p w14:paraId="16E41FD0" w14:textId="1EE50CF1" w:rsidR="00EE5195" w:rsidRDefault="00932220" w:rsidP="00A73DF1">
      <w:r>
        <w:t>Whatever t</w:t>
      </w:r>
      <w:r w:rsidR="000B1632" w:rsidRPr="000B1632">
        <w:t xml:space="preserve">he results of the </w:t>
      </w:r>
      <w:r>
        <w:t>BID</w:t>
      </w:r>
      <w:r w:rsidR="00423607">
        <w:t xml:space="preserve">, the extent to which </w:t>
      </w:r>
      <w:r w:rsidR="000D6768">
        <w:t>they are implemented</w:t>
      </w:r>
      <w:r w:rsidR="000B1632" w:rsidRPr="000B1632">
        <w:t xml:space="preserve"> </w:t>
      </w:r>
      <w:r w:rsidR="000D6768">
        <w:t>will depend in good part</w:t>
      </w:r>
      <w:r w:rsidR="00A73DF1">
        <w:t xml:space="preserve"> not only </w:t>
      </w:r>
      <w:r w:rsidR="00036FF2">
        <w:t>on</w:t>
      </w:r>
      <w:r w:rsidR="00A73DF1">
        <w:t xml:space="preserve"> their ascribed status as </w:t>
      </w:r>
      <w:r w:rsidR="0041059E">
        <w:t xml:space="preserve">either a primary or </w:t>
      </w:r>
      <w:r w:rsidR="00136668">
        <w:t>paramount consideration</w:t>
      </w:r>
      <w:r w:rsidR="00BE6C85">
        <w:t>, but also on</w:t>
      </w:r>
      <w:r w:rsidR="00AC52A6">
        <w:t xml:space="preserve"> the </w:t>
      </w:r>
      <w:r w:rsidR="00AE0AD1">
        <w:t>competent</w:t>
      </w:r>
      <w:r w:rsidR="002370A5">
        <w:t xml:space="preserve"> authority</w:t>
      </w:r>
      <w:r w:rsidR="003C469A">
        <w:t>’</w:t>
      </w:r>
      <w:r w:rsidR="006F67BF">
        <w:t>s</w:t>
      </w:r>
      <w:r w:rsidR="002370A5">
        <w:t xml:space="preserve"> </w:t>
      </w:r>
      <w:r w:rsidR="00036FF2">
        <w:t xml:space="preserve">familiarity </w:t>
      </w:r>
      <w:r w:rsidR="002370A5">
        <w:t>with that standard and/</w:t>
      </w:r>
      <w:r w:rsidR="00AE0AD1">
        <w:t>or</w:t>
      </w:r>
      <w:r w:rsidR="002370A5">
        <w:t xml:space="preserve"> its</w:t>
      </w:r>
      <w:r w:rsidR="00BE6C85" w:rsidRPr="004A49E8">
        <w:t xml:space="preserve"> willingness </w:t>
      </w:r>
      <w:r w:rsidR="00AA48C7">
        <w:t>to respond accordingly</w:t>
      </w:r>
      <w:r w:rsidR="00C91F93">
        <w:t>.</w:t>
      </w:r>
    </w:p>
    <w:p w14:paraId="11BE4DAC" w14:textId="22EBCFBA" w:rsidR="00032E1A" w:rsidRPr="001A6D54" w:rsidRDefault="00120460" w:rsidP="00A73DF1">
      <w:pPr>
        <w:rPr>
          <w:b/>
          <w:bCs/>
        </w:rPr>
      </w:pPr>
      <w:r w:rsidRPr="001A6D54">
        <w:rPr>
          <w:b/>
          <w:bCs/>
        </w:rPr>
        <w:t xml:space="preserve">By way of conclusion: </w:t>
      </w:r>
      <w:r w:rsidR="006D6319">
        <w:rPr>
          <w:b/>
          <w:bCs/>
        </w:rPr>
        <w:t xml:space="preserve">towards </w:t>
      </w:r>
      <w:r w:rsidR="001A6D54" w:rsidRPr="001A6D54">
        <w:rPr>
          <w:b/>
          <w:bCs/>
        </w:rPr>
        <w:t xml:space="preserve">an evidence base and </w:t>
      </w:r>
      <w:r w:rsidRPr="001A6D54">
        <w:rPr>
          <w:b/>
          <w:bCs/>
        </w:rPr>
        <w:t>case-by-case</w:t>
      </w:r>
      <w:r w:rsidR="006D6319">
        <w:rPr>
          <w:b/>
          <w:bCs/>
        </w:rPr>
        <w:t xml:space="preserve"> review</w:t>
      </w:r>
    </w:p>
    <w:p w14:paraId="1BF9DE32" w14:textId="052EA643" w:rsidR="00ED6335" w:rsidRDefault="00B110D0" w:rsidP="00A73DF1">
      <w:r>
        <w:t>In</w:t>
      </w:r>
      <w:r w:rsidR="008D008F">
        <w:t xml:space="preserve"> implementi</w:t>
      </w:r>
      <w:r w:rsidR="00192678">
        <w:t>ng</w:t>
      </w:r>
      <w:r w:rsidR="008D008F">
        <w:t xml:space="preserve"> </w:t>
      </w:r>
      <w:r>
        <w:t>human rights</w:t>
      </w:r>
      <w:r w:rsidR="008D008F">
        <w:t>,</w:t>
      </w:r>
      <w:r>
        <w:t xml:space="preserve"> there is room</w:t>
      </w:r>
      <w:r w:rsidR="00FA4C40">
        <w:t xml:space="preserve"> – indeed, often a</w:t>
      </w:r>
      <w:r w:rsidR="00765F1C">
        <w:t xml:space="preserve"> crying</w:t>
      </w:r>
      <w:r w:rsidR="00FA4C40">
        <w:t xml:space="preserve"> need –</w:t>
      </w:r>
      <w:r>
        <w:t xml:space="preserve"> </w:t>
      </w:r>
      <w:r w:rsidR="00FA4C40">
        <w:t>for pragmatic decision-making</w:t>
      </w:r>
      <w:r w:rsidR="00A01361">
        <w:t>.</w:t>
      </w:r>
      <w:r w:rsidR="005315B0">
        <w:t xml:space="preserve"> </w:t>
      </w:r>
      <w:r w:rsidR="00681D8D">
        <w:t xml:space="preserve">Agreed </w:t>
      </w:r>
      <w:r w:rsidR="00FE377D">
        <w:t>norms</w:t>
      </w:r>
      <w:r w:rsidR="00681D8D">
        <w:t xml:space="preserve"> </w:t>
      </w:r>
      <w:r w:rsidR="00495F41">
        <w:t>are</w:t>
      </w:r>
      <w:r w:rsidR="003A5245">
        <w:t xml:space="preserve"> the bedrock </w:t>
      </w:r>
      <w:r w:rsidR="00687EE2">
        <w:t>for promotion and protection, but</w:t>
      </w:r>
      <w:r w:rsidR="0083118A">
        <w:t xml:space="preserve"> a</w:t>
      </w:r>
      <w:r w:rsidR="00687EE2">
        <w:t xml:space="preserve"> blinkered</w:t>
      </w:r>
      <w:r w:rsidR="0083118A">
        <w:t>, purist approach</w:t>
      </w:r>
      <w:r w:rsidR="00B872B2">
        <w:t xml:space="preserve"> to implementation</w:t>
      </w:r>
      <w:r w:rsidR="0083118A">
        <w:t xml:space="preserve"> </w:t>
      </w:r>
      <w:r w:rsidR="00121D1A">
        <w:t xml:space="preserve">that </w:t>
      </w:r>
      <w:r w:rsidR="00C7248A">
        <w:t>puts</w:t>
      </w:r>
      <w:r w:rsidR="00121D1A">
        <w:t xml:space="preserve"> </w:t>
      </w:r>
      <w:r w:rsidR="00FF25A6">
        <w:t>absolute respect</w:t>
      </w:r>
      <w:r w:rsidR="005918DF">
        <w:t xml:space="preserve"> for the letter of</w:t>
      </w:r>
      <w:r w:rsidR="00FE377D">
        <w:t xml:space="preserve"> international standards</w:t>
      </w:r>
      <w:r w:rsidR="00743C28">
        <w:t xml:space="preserve"> above</w:t>
      </w:r>
      <w:r w:rsidR="00FF25A6">
        <w:t xml:space="preserve"> the consequences </w:t>
      </w:r>
      <w:r w:rsidR="00864A07">
        <w:t xml:space="preserve">for the rights-holder </w:t>
      </w:r>
      <w:r w:rsidR="00A90921">
        <w:t>is indefensible</w:t>
      </w:r>
      <w:r w:rsidR="00D30782">
        <w:t>.</w:t>
      </w:r>
    </w:p>
    <w:p w14:paraId="78DEF95C" w14:textId="01BCD36C" w:rsidR="000B1632" w:rsidRPr="000B1632" w:rsidRDefault="004D62DE" w:rsidP="000F007A">
      <w:r>
        <w:t>While i</w:t>
      </w:r>
      <w:r w:rsidR="00ED6335">
        <w:t>t is vital to remain vigilant in every case</w:t>
      </w:r>
      <w:r>
        <w:t>,</w:t>
      </w:r>
      <w:r w:rsidR="00316C1A">
        <w:t xml:space="preserve"> </w:t>
      </w:r>
      <w:r w:rsidR="000F007A">
        <w:t>we have</w:t>
      </w:r>
      <w:r w:rsidR="00316C1A">
        <w:t xml:space="preserve"> </w:t>
      </w:r>
      <w:r w:rsidR="000F007A">
        <w:t xml:space="preserve">few </w:t>
      </w:r>
      <w:r w:rsidR="00D571E2">
        <w:t>reliable</w:t>
      </w:r>
      <w:r w:rsidR="000F007A">
        <w:t xml:space="preserve"> data</w:t>
      </w:r>
      <w:r w:rsidR="00D30782">
        <w:t xml:space="preserve"> </w:t>
      </w:r>
      <w:r w:rsidR="000F007A">
        <w:t xml:space="preserve">on the </w:t>
      </w:r>
      <w:r w:rsidR="000B1632" w:rsidRPr="000B1632">
        <w:t xml:space="preserve">effects and outcomes of </w:t>
      </w:r>
      <w:r w:rsidR="00AD72BC">
        <w:t xml:space="preserve">BIC </w:t>
      </w:r>
      <w:r w:rsidR="000B1632" w:rsidRPr="000B1632">
        <w:t>decisions made</w:t>
      </w:r>
      <w:r w:rsidR="0012426E">
        <w:t xml:space="preserve"> in line with or</w:t>
      </w:r>
      <w:r w:rsidR="00D571E2">
        <w:t>, conversely,</w:t>
      </w:r>
      <w:r w:rsidR="0012426E">
        <w:t xml:space="preserve"> in defiance of standards.</w:t>
      </w:r>
    </w:p>
    <w:p w14:paraId="5C7A37DC" w14:textId="0FF70BAC" w:rsidR="00656AC2" w:rsidRDefault="00450249" w:rsidP="00AC12F9">
      <w:r>
        <w:lastRenderedPageBreak/>
        <w:t>Thus, i</w:t>
      </w:r>
      <w:r w:rsidR="00AC12F9">
        <w:t xml:space="preserve">n light of standards </w:t>
      </w:r>
      <w:r w:rsidR="0099443F">
        <w:t>as well as</w:t>
      </w:r>
      <w:r w:rsidR="00AC12F9">
        <w:t xml:space="preserve"> on principle, we do not want children </w:t>
      </w:r>
      <w:r w:rsidR="000930BB">
        <w:t xml:space="preserve">to be </w:t>
      </w:r>
      <w:r w:rsidR="00AC12F9">
        <w:t>deprived of their liberty</w:t>
      </w:r>
      <w:r w:rsidR="00E054E9">
        <w:t xml:space="preserve">, all the more so when </w:t>
      </w:r>
      <w:r w:rsidR="00911D0F">
        <w:t>– like those crossing borders – the</w:t>
      </w:r>
      <w:r w:rsidR="008C0851">
        <w:t>y</w:t>
      </w:r>
      <w:r w:rsidR="00911D0F">
        <w:t xml:space="preserve"> have not committed a criminal offence. </w:t>
      </w:r>
      <w:r w:rsidR="00EF581D">
        <w:t xml:space="preserve">At the same time, we </w:t>
      </w:r>
      <w:r w:rsidR="00E44C9E">
        <w:t xml:space="preserve">have </w:t>
      </w:r>
      <w:r w:rsidR="009513D1">
        <w:t xml:space="preserve">little </w:t>
      </w:r>
      <w:r w:rsidR="00E44C9E">
        <w:t>solid evidence as to what happens</w:t>
      </w:r>
      <w:r w:rsidR="00D94CC6">
        <w:t xml:space="preserve"> in the short or longer term</w:t>
      </w:r>
      <w:r w:rsidR="00E44C9E">
        <w:t xml:space="preserve"> to child migrants </w:t>
      </w:r>
      <w:r w:rsidR="0018450A">
        <w:t xml:space="preserve">who “disappear under the radar” </w:t>
      </w:r>
      <w:r w:rsidR="007B0130">
        <w:t>when their movements are not</w:t>
      </w:r>
      <w:r w:rsidR="00524618">
        <w:t xml:space="preserve"> initially</w:t>
      </w:r>
      <w:r w:rsidR="007B0130">
        <w:t xml:space="preserve"> restricted.</w:t>
      </w:r>
      <w:r w:rsidR="002555D4">
        <w:t xml:space="preserve"> Similarly, </w:t>
      </w:r>
      <w:r w:rsidR="003C5BDA">
        <w:t>the</w:t>
      </w:r>
      <w:r w:rsidR="00567C15">
        <w:t xml:space="preserve"> actual short- or longer-term </w:t>
      </w:r>
      <w:r w:rsidR="003C5BDA">
        <w:t>outcome</w:t>
      </w:r>
      <w:r w:rsidR="00567C15">
        <w:t>s</w:t>
      </w:r>
      <w:r w:rsidR="003C5BDA">
        <w:t xml:space="preserve"> of </w:t>
      </w:r>
      <w:r w:rsidR="00F278BC">
        <w:t>“</w:t>
      </w:r>
      <w:r w:rsidR="00F278BC" w:rsidRPr="000B1632">
        <w:t>returns</w:t>
      </w:r>
      <w:r w:rsidR="00F278BC">
        <w:t>” to the country of origin or habitual residence</w:t>
      </w:r>
      <w:r w:rsidR="00CD1999">
        <w:t xml:space="preserve">, </w:t>
      </w:r>
      <w:r w:rsidR="00D21D43">
        <w:t>be it as a child migrant or an abducted child,</w:t>
      </w:r>
      <w:r w:rsidR="001A2824">
        <w:t xml:space="preserve"> </w:t>
      </w:r>
      <w:r w:rsidR="00656AC2">
        <w:t>are insufficiently known.</w:t>
      </w:r>
    </w:p>
    <w:p w14:paraId="246D8050" w14:textId="315813FC" w:rsidR="0096763A" w:rsidRDefault="00656AC2" w:rsidP="00AC12F9">
      <w:r>
        <w:t xml:space="preserve">All this means that </w:t>
      </w:r>
      <w:r w:rsidR="00333C17">
        <w:t xml:space="preserve">the </w:t>
      </w:r>
      <w:r w:rsidR="0052230B">
        <w:t xml:space="preserve">inherent </w:t>
      </w:r>
      <w:r w:rsidR="00333C17">
        <w:t xml:space="preserve">challenges </w:t>
      </w:r>
      <w:r w:rsidR="000E21B2">
        <w:t>of</w:t>
      </w:r>
      <w:r w:rsidR="0052230B">
        <w:t xml:space="preserve"> reaching and</w:t>
      </w:r>
      <w:r w:rsidR="000E21B2">
        <w:t xml:space="preserve"> </w:t>
      </w:r>
      <w:r w:rsidR="0059260B">
        <w:t xml:space="preserve">implementing </w:t>
      </w:r>
      <w:r w:rsidR="00042A7F">
        <w:t xml:space="preserve">sound </w:t>
      </w:r>
      <w:r w:rsidR="007358E0">
        <w:t>BIC</w:t>
      </w:r>
      <w:r w:rsidR="00042A7F">
        <w:t xml:space="preserve"> decisions</w:t>
      </w:r>
      <w:r w:rsidR="00BA77B4">
        <w:t xml:space="preserve">, already </w:t>
      </w:r>
      <w:r w:rsidR="006F201F">
        <w:t>increased in cross-border situations,</w:t>
      </w:r>
      <w:r w:rsidR="000942AA">
        <w:t xml:space="preserve"> are further enhanced </w:t>
      </w:r>
      <w:r w:rsidR="000D3508">
        <w:t xml:space="preserve">by two factors. </w:t>
      </w:r>
    </w:p>
    <w:p w14:paraId="2B74F10E" w14:textId="3559F983" w:rsidR="000E029E" w:rsidRDefault="00CA693F" w:rsidP="00AC12F9">
      <w:r>
        <w:t>One is a</w:t>
      </w:r>
      <w:r w:rsidR="00981ED7">
        <w:t>n</w:t>
      </w:r>
      <w:r>
        <w:t xml:space="preserve"> ideological approach to the issue</w:t>
      </w:r>
      <w:r w:rsidR="002354C5">
        <w:t xml:space="preserve"> where</w:t>
      </w:r>
      <w:r w:rsidR="00906FB4">
        <w:t xml:space="preserve"> solutions are </w:t>
      </w:r>
      <w:r w:rsidR="009B1C80">
        <w:t>labelled</w:t>
      </w:r>
      <w:r w:rsidR="000315A2">
        <w:t xml:space="preserve"> </w:t>
      </w:r>
      <w:r w:rsidR="00906FB4">
        <w:t>as</w:t>
      </w:r>
      <w:r w:rsidR="002D6F0C">
        <w:t xml:space="preserve"> intrinsically</w:t>
      </w:r>
      <w:r w:rsidR="002354C5">
        <w:t xml:space="preserve"> </w:t>
      </w:r>
      <w:r w:rsidR="0048106B">
        <w:t>“</w:t>
      </w:r>
      <w:r w:rsidR="002354C5">
        <w:t>bad</w:t>
      </w:r>
      <w:r w:rsidR="0048106B">
        <w:t>”</w:t>
      </w:r>
      <w:r w:rsidR="002354C5">
        <w:t xml:space="preserve"> (</w:t>
      </w:r>
      <w:r w:rsidR="00BA1D46">
        <w:t xml:space="preserve">closed </w:t>
      </w:r>
      <w:r w:rsidR="00181B50">
        <w:t xml:space="preserve">residential placements, </w:t>
      </w:r>
      <w:r w:rsidR="0099172E">
        <w:t>return of child migrants</w:t>
      </w:r>
      <w:r w:rsidR="002D6F0C">
        <w:t xml:space="preserve">, </w:t>
      </w:r>
      <w:r w:rsidR="00152D53">
        <w:t xml:space="preserve">non-return of abducted children…) </w:t>
      </w:r>
      <w:r w:rsidR="00AC7877">
        <w:t>or</w:t>
      </w:r>
      <w:r w:rsidR="00152D53">
        <w:t xml:space="preserve"> “good</w:t>
      </w:r>
      <w:r w:rsidR="00B82123">
        <w:t>”</w:t>
      </w:r>
      <w:r w:rsidR="00152D53">
        <w:t xml:space="preserve"> (</w:t>
      </w:r>
      <w:r w:rsidR="00B82123">
        <w:t>family-based care</w:t>
      </w:r>
      <w:r w:rsidR="00CB56F7">
        <w:t xml:space="preserve">, </w:t>
      </w:r>
      <w:r w:rsidR="00BB7054">
        <w:t xml:space="preserve">integration of child migrants, </w:t>
      </w:r>
      <w:r w:rsidR="006B7FEC">
        <w:t>return of abducted children</w:t>
      </w:r>
      <w:r w:rsidR="005601EC">
        <w:t>…</w:t>
      </w:r>
      <w:r w:rsidR="006B7FEC">
        <w:t>)</w:t>
      </w:r>
      <w:r w:rsidR="00E55C5C">
        <w:t xml:space="preserve"> for all children</w:t>
      </w:r>
      <w:r w:rsidR="00C36DF9">
        <w:t>, whatever their</w:t>
      </w:r>
      <w:r w:rsidR="005C6242">
        <w:t xml:space="preserve"> individual</w:t>
      </w:r>
      <w:r w:rsidR="00C36DF9">
        <w:t xml:space="preserve"> situation</w:t>
      </w:r>
      <w:r w:rsidR="005601EC">
        <w:t>.</w:t>
      </w:r>
    </w:p>
    <w:p w14:paraId="107C9B58" w14:textId="5B087E10" w:rsidR="005C41F6" w:rsidRDefault="009E1036" w:rsidP="009E1036">
      <w:r>
        <w:t xml:space="preserve">The second, </w:t>
      </w:r>
      <w:r w:rsidR="00367654">
        <w:t>closely</w:t>
      </w:r>
      <w:r w:rsidR="002B0484">
        <w:t xml:space="preserve"> </w:t>
      </w:r>
      <w:r>
        <w:t xml:space="preserve">linked to </w:t>
      </w:r>
      <w:r w:rsidR="00367654">
        <w:t>this</w:t>
      </w:r>
      <w:r>
        <w:t xml:space="preserve">, </w:t>
      </w:r>
      <w:r w:rsidR="00E30ED9">
        <w:t xml:space="preserve">is </w:t>
      </w:r>
      <w:r w:rsidR="00E30ED9" w:rsidRPr="004075AB">
        <w:t>“</w:t>
      </w:r>
      <w:r w:rsidR="005C41F6" w:rsidRPr="004075AB">
        <w:t>groupthink</w:t>
      </w:r>
      <w:r w:rsidR="00E30ED9" w:rsidRPr="004075AB">
        <w:t>”</w:t>
      </w:r>
      <w:r w:rsidR="009C50F3">
        <w:t xml:space="preserve"> </w:t>
      </w:r>
      <w:r w:rsidR="00C81495">
        <w:t>based on</w:t>
      </w:r>
      <w:r w:rsidR="00172DC9">
        <w:t xml:space="preserve"> supposedly conventional </w:t>
      </w:r>
      <w:r w:rsidR="00E40B5C">
        <w:t>wisdom</w:t>
      </w:r>
      <w:r w:rsidR="00172DC9">
        <w:t xml:space="preserve"> </w:t>
      </w:r>
      <w:r w:rsidR="009C50F3">
        <w:t xml:space="preserve">that </w:t>
      </w:r>
      <w:r w:rsidR="00553D24">
        <w:t>dissuades</w:t>
      </w:r>
      <w:r w:rsidR="00EA46EF">
        <w:t xml:space="preserve"> professionals</w:t>
      </w:r>
      <w:r w:rsidR="007E7EB8">
        <w:t xml:space="preserve"> </w:t>
      </w:r>
      <w:r w:rsidR="00553D24">
        <w:t xml:space="preserve">from </w:t>
      </w:r>
      <w:r w:rsidR="00CA0E4E">
        <w:t>ra</w:t>
      </w:r>
      <w:r w:rsidR="00C343F5">
        <w:t xml:space="preserve">ising </w:t>
      </w:r>
      <w:r w:rsidR="007E7EB8">
        <w:t>questio</w:t>
      </w:r>
      <w:r w:rsidR="00C343F5">
        <w:t>ns</w:t>
      </w:r>
      <w:r w:rsidR="00C817E7">
        <w:t xml:space="preserve"> with their peers and others</w:t>
      </w:r>
      <w:r w:rsidR="00C343F5">
        <w:t xml:space="preserve"> about</w:t>
      </w:r>
      <w:r w:rsidR="00A30E95">
        <w:t xml:space="preserve"> the </w:t>
      </w:r>
      <w:r w:rsidR="0097558D">
        <w:t xml:space="preserve">justification and </w:t>
      </w:r>
      <w:r w:rsidR="00A30E95">
        <w:t>consequences of</w:t>
      </w:r>
      <w:r w:rsidR="007E7EB8">
        <w:t xml:space="preserve"> such approaches</w:t>
      </w:r>
      <w:r w:rsidR="00F44D3F">
        <w:t xml:space="preserve"> from a</w:t>
      </w:r>
      <w:r w:rsidR="0008067B">
        <w:t xml:space="preserve"> </w:t>
      </w:r>
      <w:proofErr w:type="gramStart"/>
      <w:r w:rsidR="0008067B">
        <w:t>rights</w:t>
      </w:r>
      <w:proofErr w:type="gramEnd"/>
      <w:r w:rsidR="0008067B">
        <w:t xml:space="preserve"> and</w:t>
      </w:r>
      <w:r w:rsidR="00F44D3F">
        <w:t xml:space="preserve"> best interests standpoint</w:t>
      </w:r>
      <w:r w:rsidR="003112C8">
        <w:t>, in both collective and individual cases</w:t>
      </w:r>
      <w:r w:rsidR="007E7EB8">
        <w:t>.</w:t>
      </w:r>
    </w:p>
    <w:p w14:paraId="2E5C6B05" w14:textId="1D5C1F39" w:rsidR="00DE3319" w:rsidRDefault="00892C5A" w:rsidP="009E1036">
      <w:proofErr w:type="gramStart"/>
      <w:r>
        <w:t>S</w:t>
      </w:r>
      <w:r w:rsidR="00BE6242">
        <w:t>o</w:t>
      </w:r>
      <w:proofErr w:type="gramEnd"/>
      <w:r w:rsidR="00BE6242">
        <w:t xml:space="preserve"> </w:t>
      </w:r>
      <w:r w:rsidR="00CC0C7C">
        <w:t>some</w:t>
      </w:r>
      <w:r w:rsidR="00DE3319">
        <w:t xml:space="preserve"> </w:t>
      </w:r>
      <w:r w:rsidR="00F50724">
        <w:t xml:space="preserve">questions posed </w:t>
      </w:r>
      <w:r w:rsidR="000B2B19">
        <w:t>in this paper</w:t>
      </w:r>
      <w:r w:rsidR="00F50724">
        <w:t xml:space="preserve"> </w:t>
      </w:r>
      <w:r w:rsidR="00BC7251">
        <w:t xml:space="preserve">are </w:t>
      </w:r>
      <w:r w:rsidR="00C60403">
        <w:t xml:space="preserve">deliberately </w:t>
      </w:r>
      <w:r w:rsidR="00BC7251">
        <w:t>at odds with</w:t>
      </w:r>
      <w:r w:rsidR="00010A74">
        <w:t xml:space="preserve"> sweeping</w:t>
      </w:r>
      <w:r w:rsidR="00BC7251">
        <w:t xml:space="preserve"> </w:t>
      </w:r>
      <w:r w:rsidR="00B879A5">
        <w:t>preconceptions</w:t>
      </w:r>
      <w:r w:rsidR="007C1FC0">
        <w:t xml:space="preserve"> often sustained by groupthink.</w:t>
      </w:r>
      <w:r w:rsidR="005909A9">
        <w:t xml:space="preserve"> </w:t>
      </w:r>
      <w:r w:rsidR="005E66F4">
        <w:t xml:space="preserve">They need </w:t>
      </w:r>
      <w:r w:rsidR="007026B7">
        <w:t>t</w:t>
      </w:r>
      <w:r w:rsidR="005909A9">
        <w:t>o</w:t>
      </w:r>
      <w:r w:rsidR="007026B7">
        <w:t xml:space="preserve"> be posed</w:t>
      </w:r>
      <w:r w:rsidR="005909A9">
        <w:t xml:space="preserve"> </w:t>
      </w:r>
      <w:r w:rsidR="00FD00E5">
        <w:t xml:space="preserve">if we </w:t>
      </w:r>
      <w:r w:rsidR="00F02BFE">
        <w:t>seek</w:t>
      </w:r>
      <w:r w:rsidR="00910549">
        <w:t xml:space="preserve"> to </w:t>
      </w:r>
      <w:r w:rsidR="005909A9">
        <w:t>meet some of the challenges</w:t>
      </w:r>
      <w:r w:rsidR="00B47814">
        <w:t xml:space="preserve"> for respecting the best interests</w:t>
      </w:r>
      <w:r w:rsidR="007046CE">
        <w:t xml:space="preserve"> and rights</w:t>
      </w:r>
      <w:r w:rsidR="00B47814">
        <w:t xml:space="preserve"> of children </w:t>
      </w:r>
      <w:r w:rsidR="005E66F4">
        <w:t>moving across borders</w:t>
      </w:r>
      <w:r w:rsidR="00910549">
        <w:t xml:space="preserve">. </w:t>
      </w:r>
      <w:r w:rsidR="002D66FA">
        <w:t xml:space="preserve">Hopefully, the </w:t>
      </w:r>
      <w:r w:rsidR="00BE6242">
        <w:t xml:space="preserve">eventual </w:t>
      </w:r>
      <w:r w:rsidR="002D66FA">
        <w:t xml:space="preserve">answers </w:t>
      </w:r>
      <w:r w:rsidR="00273C70">
        <w:t>can</w:t>
      </w:r>
      <w:r w:rsidR="002D66FA">
        <w:t xml:space="preserve"> rely above all </w:t>
      </w:r>
      <w:r w:rsidR="00C76966">
        <w:t>on</w:t>
      </w:r>
      <w:r w:rsidR="00F511EF">
        <w:t xml:space="preserve"> both</w:t>
      </w:r>
      <w:r w:rsidR="00C76966">
        <w:t xml:space="preserve"> improved evidence and </w:t>
      </w:r>
      <w:r w:rsidR="00F511EF">
        <w:t>case-by-case review.</w:t>
      </w:r>
    </w:p>
    <w:p w14:paraId="20D4D380" w14:textId="77777777" w:rsidR="00FD0A27" w:rsidRDefault="00FD0A27" w:rsidP="009E1036"/>
    <w:p w14:paraId="482D64B0" w14:textId="77777777" w:rsidR="005C41F6" w:rsidRPr="000B1632" w:rsidRDefault="005C41F6" w:rsidP="00AC12F9"/>
    <w:p w14:paraId="3F5F6648" w14:textId="77777777" w:rsidR="000B1632" w:rsidRPr="000B1632" w:rsidRDefault="000B1632" w:rsidP="000B1632"/>
    <w:p w14:paraId="26D3C26B" w14:textId="77777777" w:rsidR="00BA732B" w:rsidRDefault="000B0A8B"/>
    <w:sectPr w:rsidR="00BA7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9D85" w14:textId="77777777" w:rsidR="00AF2D5A" w:rsidRDefault="00AF2D5A" w:rsidP="00A16AE1">
      <w:pPr>
        <w:spacing w:after="0" w:line="240" w:lineRule="auto"/>
      </w:pPr>
      <w:r>
        <w:separator/>
      </w:r>
    </w:p>
  </w:endnote>
  <w:endnote w:type="continuationSeparator" w:id="0">
    <w:p w14:paraId="41885DDA" w14:textId="77777777" w:rsidR="00AF2D5A" w:rsidRDefault="00AF2D5A" w:rsidP="00A1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01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8C89A" w14:textId="56AE4DA1" w:rsidR="00BA67B0" w:rsidRDefault="00BA67B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918E6" w14:textId="77777777" w:rsidR="00BA67B0" w:rsidRDefault="00BA6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91DB" w14:textId="77777777" w:rsidR="00AF2D5A" w:rsidRDefault="00AF2D5A" w:rsidP="00A16AE1">
      <w:pPr>
        <w:spacing w:after="0" w:line="240" w:lineRule="auto"/>
      </w:pPr>
      <w:r>
        <w:separator/>
      </w:r>
    </w:p>
  </w:footnote>
  <w:footnote w:type="continuationSeparator" w:id="0">
    <w:p w14:paraId="6FEFEC55" w14:textId="77777777" w:rsidR="00AF2D5A" w:rsidRDefault="00AF2D5A" w:rsidP="00A16AE1">
      <w:pPr>
        <w:spacing w:after="0" w:line="240" w:lineRule="auto"/>
      </w:pPr>
      <w:r>
        <w:continuationSeparator/>
      </w:r>
    </w:p>
  </w:footnote>
  <w:footnote w:id="1">
    <w:p w14:paraId="05E875E2" w14:textId="3BBE914F" w:rsidR="00A16AE1" w:rsidRPr="00A16AE1" w:rsidRDefault="00A16AE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6AE1">
        <w:t>General Comment on the right o</w:t>
      </w:r>
      <w:r>
        <w:t xml:space="preserve">f a child to have </w:t>
      </w:r>
      <w:r w:rsidR="008E42DC">
        <w:t>his</w:t>
      </w:r>
      <w:r>
        <w:t xml:space="preserve"> or her best interests taken as a prim</w:t>
      </w:r>
      <w:r w:rsidR="008E42DC">
        <w:t xml:space="preserve">ary consideration, </w:t>
      </w:r>
      <w:r w:rsidR="00E636C6">
        <w:t>UN doc CRC/C/GC/14</w:t>
      </w:r>
    </w:p>
  </w:footnote>
  <w:footnote w:id="2">
    <w:p w14:paraId="00A83987" w14:textId="79CDCE77" w:rsidR="008942E1" w:rsidRPr="00A16AE1" w:rsidRDefault="0090442B" w:rsidP="008942E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E0B9E" w:rsidRPr="00773E9D">
        <w:rPr>
          <w:i/>
          <w:iCs/>
        </w:rPr>
        <w:t>Ibid</w:t>
      </w:r>
      <w:r w:rsidR="003E0B9E">
        <w:t>.</w:t>
      </w:r>
      <w:r w:rsidR="008942E1">
        <w:t>, para.</w:t>
      </w:r>
      <w:r w:rsidR="00FB1046">
        <w:t xml:space="preserve"> 54.</w:t>
      </w:r>
    </w:p>
    <w:p w14:paraId="4562FE24" w14:textId="50B3ADA2" w:rsidR="0090442B" w:rsidRPr="008942E1" w:rsidRDefault="0090442B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0ECE"/>
    <w:multiLevelType w:val="hybridMultilevel"/>
    <w:tmpl w:val="4852BECC"/>
    <w:lvl w:ilvl="0" w:tplc="1A7EAD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58E4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E64C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78A3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CCE83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D632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4C67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2075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D6BF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6414332"/>
    <w:multiLevelType w:val="hybridMultilevel"/>
    <w:tmpl w:val="37EA5360"/>
    <w:lvl w:ilvl="0" w:tplc="DEF4DD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50B2F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2C6D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5A99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AA30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980A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ACD4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B44F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E2A7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E2D1D5B"/>
    <w:multiLevelType w:val="hybridMultilevel"/>
    <w:tmpl w:val="BCC0CB04"/>
    <w:lvl w:ilvl="0" w:tplc="D26041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D02B5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9434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EA67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91E8C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98B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7864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E86F0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069B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3545639"/>
    <w:multiLevelType w:val="hybridMultilevel"/>
    <w:tmpl w:val="4544A9DC"/>
    <w:lvl w:ilvl="0" w:tplc="0F022F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5A717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1C3C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8AE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7CBF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4EFC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8492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D84C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76CF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B3E5B7C"/>
    <w:multiLevelType w:val="hybridMultilevel"/>
    <w:tmpl w:val="D9540AD6"/>
    <w:lvl w:ilvl="0" w:tplc="24309F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2894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32FC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FCFE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1A15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04D5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06C8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F29C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7A98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CC854DA"/>
    <w:multiLevelType w:val="hybridMultilevel"/>
    <w:tmpl w:val="DE8C206A"/>
    <w:lvl w:ilvl="0" w:tplc="D570CB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72A81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F0D3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AA0F5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A690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1E00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4EFF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1AE1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4AF5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03E140A"/>
    <w:multiLevelType w:val="hybridMultilevel"/>
    <w:tmpl w:val="CA6AF9B4"/>
    <w:lvl w:ilvl="0" w:tplc="31C4B4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DAC3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F212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9AF0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DA00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308C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2E51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8285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8CF26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13E24D5"/>
    <w:multiLevelType w:val="hybridMultilevel"/>
    <w:tmpl w:val="80D04176"/>
    <w:lvl w:ilvl="0" w:tplc="C1BE2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2E83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CA4E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A046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98CD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728C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6A8E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6EC5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9C3F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32"/>
    <w:rsid w:val="00001532"/>
    <w:rsid w:val="0000162C"/>
    <w:rsid w:val="00001ACB"/>
    <w:rsid w:val="000024E8"/>
    <w:rsid w:val="00003928"/>
    <w:rsid w:val="00003FB2"/>
    <w:rsid w:val="0000483E"/>
    <w:rsid w:val="00010A74"/>
    <w:rsid w:val="00013D7A"/>
    <w:rsid w:val="0001781A"/>
    <w:rsid w:val="00021DB1"/>
    <w:rsid w:val="00021E75"/>
    <w:rsid w:val="00027138"/>
    <w:rsid w:val="00027F1A"/>
    <w:rsid w:val="000315A2"/>
    <w:rsid w:val="000321A4"/>
    <w:rsid w:val="00032E1A"/>
    <w:rsid w:val="00035831"/>
    <w:rsid w:val="00036FF2"/>
    <w:rsid w:val="000379FF"/>
    <w:rsid w:val="00040E13"/>
    <w:rsid w:val="00042A7F"/>
    <w:rsid w:val="00042EF8"/>
    <w:rsid w:val="000439F8"/>
    <w:rsid w:val="00045282"/>
    <w:rsid w:val="0004583D"/>
    <w:rsid w:val="000466E1"/>
    <w:rsid w:val="00051BD3"/>
    <w:rsid w:val="000529B5"/>
    <w:rsid w:val="00052A64"/>
    <w:rsid w:val="00053C08"/>
    <w:rsid w:val="00054EE8"/>
    <w:rsid w:val="00057F87"/>
    <w:rsid w:val="0006064F"/>
    <w:rsid w:val="00060940"/>
    <w:rsid w:val="00060FFA"/>
    <w:rsid w:val="00061277"/>
    <w:rsid w:val="00064DC1"/>
    <w:rsid w:val="00066FAD"/>
    <w:rsid w:val="00067B51"/>
    <w:rsid w:val="00070CBD"/>
    <w:rsid w:val="000717F3"/>
    <w:rsid w:val="00072233"/>
    <w:rsid w:val="00073021"/>
    <w:rsid w:val="00075122"/>
    <w:rsid w:val="00075E1C"/>
    <w:rsid w:val="00077C50"/>
    <w:rsid w:val="0008067B"/>
    <w:rsid w:val="00080B28"/>
    <w:rsid w:val="000827A7"/>
    <w:rsid w:val="00082A6E"/>
    <w:rsid w:val="00083370"/>
    <w:rsid w:val="000838CE"/>
    <w:rsid w:val="00083A65"/>
    <w:rsid w:val="00086A3A"/>
    <w:rsid w:val="00090B58"/>
    <w:rsid w:val="00091D62"/>
    <w:rsid w:val="00092321"/>
    <w:rsid w:val="000930BB"/>
    <w:rsid w:val="000942AA"/>
    <w:rsid w:val="00095B1B"/>
    <w:rsid w:val="00097D05"/>
    <w:rsid w:val="000A1C5B"/>
    <w:rsid w:val="000A386A"/>
    <w:rsid w:val="000B0A8B"/>
    <w:rsid w:val="000B1632"/>
    <w:rsid w:val="000B1D23"/>
    <w:rsid w:val="000B2B19"/>
    <w:rsid w:val="000B6FF9"/>
    <w:rsid w:val="000C153E"/>
    <w:rsid w:val="000C16FE"/>
    <w:rsid w:val="000C2E85"/>
    <w:rsid w:val="000C3A2E"/>
    <w:rsid w:val="000C3CC5"/>
    <w:rsid w:val="000C403B"/>
    <w:rsid w:val="000C4AC5"/>
    <w:rsid w:val="000D0505"/>
    <w:rsid w:val="000D0ABB"/>
    <w:rsid w:val="000D0BD1"/>
    <w:rsid w:val="000D11FC"/>
    <w:rsid w:val="000D3508"/>
    <w:rsid w:val="000D4523"/>
    <w:rsid w:val="000D6768"/>
    <w:rsid w:val="000D73E2"/>
    <w:rsid w:val="000E029E"/>
    <w:rsid w:val="000E1AB2"/>
    <w:rsid w:val="000E21B2"/>
    <w:rsid w:val="000E2214"/>
    <w:rsid w:val="000E2F24"/>
    <w:rsid w:val="000E3960"/>
    <w:rsid w:val="000E531E"/>
    <w:rsid w:val="000E5C54"/>
    <w:rsid w:val="000E6D69"/>
    <w:rsid w:val="000E724C"/>
    <w:rsid w:val="000E7C17"/>
    <w:rsid w:val="000F007A"/>
    <w:rsid w:val="000F00F3"/>
    <w:rsid w:val="000F0658"/>
    <w:rsid w:val="000F103C"/>
    <w:rsid w:val="001011F5"/>
    <w:rsid w:val="001032BE"/>
    <w:rsid w:val="00103B2D"/>
    <w:rsid w:val="00104132"/>
    <w:rsid w:val="00111319"/>
    <w:rsid w:val="001124AA"/>
    <w:rsid w:val="00112EF6"/>
    <w:rsid w:val="00113F02"/>
    <w:rsid w:val="00114507"/>
    <w:rsid w:val="0011526F"/>
    <w:rsid w:val="00117B7B"/>
    <w:rsid w:val="00120460"/>
    <w:rsid w:val="00121D1A"/>
    <w:rsid w:val="0012426E"/>
    <w:rsid w:val="0013043D"/>
    <w:rsid w:val="00132529"/>
    <w:rsid w:val="0013516F"/>
    <w:rsid w:val="00136143"/>
    <w:rsid w:val="00136668"/>
    <w:rsid w:val="0013777E"/>
    <w:rsid w:val="00141D25"/>
    <w:rsid w:val="0014229D"/>
    <w:rsid w:val="0014230E"/>
    <w:rsid w:val="00142959"/>
    <w:rsid w:val="00143E23"/>
    <w:rsid w:val="00147A46"/>
    <w:rsid w:val="0015083E"/>
    <w:rsid w:val="00151CA8"/>
    <w:rsid w:val="00152D53"/>
    <w:rsid w:val="001533EC"/>
    <w:rsid w:val="00155EFA"/>
    <w:rsid w:val="00162779"/>
    <w:rsid w:val="00164756"/>
    <w:rsid w:val="00164790"/>
    <w:rsid w:val="001657C2"/>
    <w:rsid w:val="001667EC"/>
    <w:rsid w:val="001671A5"/>
    <w:rsid w:val="00172DC9"/>
    <w:rsid w:val="00176346"/>
    <w:rsid w:val="001768C1"/>
    <w:rsid w:val="00181B50"/>
    <w:rsid w:val="00182D86"/>
    <w:rsid w:val="00182F57"/>
    <w:rsid w:val="0018450A"/>
    <w:rsid w:val="0018496F"/>
    <w:rsid w:val="00184CB0"/>
    <w:rsid w:val="00191FC7"/>
    <w:rsid w:val="00192678"/>
    <w:rsid w:val="0019411D"/>
    <w:rsid w:val="00197380"/>
    <w:rsid w:val="00197E71"/>
    <w:rsid w:val="001A0A32"/>
    <w:rsid w:val="001A0BC2"/>
    <w:rsid w:val="001A0E8F"/>
    <w:rsid w:val="001A2260"/>
    <w:rsid w:val="001A2824"/>
    <w:rsid w:val="001A52CD"/>
    <w:rsid w:val="001A6D54"/>
    <w:rsid w:val="001A769E"/>
    <w:rsid w:val="001A7854"/>
    <w:rsid w:val="001B449E"/>
    <w:rsid w:val="001B508F"/>
    <w:rsid w:val="001B59C7"/>
    <w:rsid w:val="001C0911"/>
    <w:rsid w:val="001C1A74"/>
    <w:rsid w:val="001C1B84"/>
    <w:rsid w:val="001C1FB3"/>
    <w:rsid w:val="001C497A"/>
    <w:rsid w:val="001C5495"/>
    <w:rsid w:val="001C71B0"/>
    <w:rsid w:val="001D0886"/>
    <w:rsid w:val="001D09B4"/>
    <w:rsid w:val="001D0A89"/>
    <w:rsid w:val="001D19E4"/>
    <w:rsid w:val="001D3B4D"/>
    <w:rsid w:val="001D6D81"/>
    <w:rsid w:val="001D7FBC"/>
    <w:rsid w:val="001E0742"/>
    <w:rsid w:val="001E08E1"/>
    <w:rsid w:val="001E09E6"/>
    <w:rsid w:val="001E0A2D"/>
    <w:rsid w:val="001E19F0"/>
    <w:rsid w:val="001E3043"/>
    <w:rsid w:val="001E45D4"/>
    <w:rsid w:val="001E67C1"/>
    <w:rsid w:val="001F6D80"/>
    <w:rsid w:val="001F7867"/>
    <w:rsid w:val="00200DBD"/>
    <w:rsid w:val="00202500"/>
    <w:rsid w:val="00205183"/>
    <w:rsid w:val="002058F6"/>
    <w:rsid w:val="002131B1"/>
    <w:rsid w:val="0021484B"/>
    <w:rsid w:val="00215791"/>
    <w:rsid w:val="00216529"/>
    <w:rsid w:val="00216C43"/>
    <w:rsid w:val="002172D0"/>
    <w:rsid w:val="00217480"/>
    <w:rsid w:val="00217B1C"/>
    <w:rsid w:val="00220A2B"/>
    <w:rsid w:val="00222D4C"/>
    <w:rsid w:val="00222FB0"/>
    <w:rsid w:val="00223DF4"/>
    <w:rsid w:val="0022691E"/>
    <w:rsid w:val="00230F21"/>
    <w:rsid w:val="0023139F"/>
    <w:rsid w:val="00232F00"/>
    <w:rsid w:val="002351EC"/>
    <w:rsid w:val="002354C5"/>
    <w:rsid w:val="002370A5"/>
    <w:rsid w:val="0023726B"/>
    <w:rsid w:val="002374B5"/>
    <w:rsid w:val="00242679"/>
    <w:rsid w:val="0024525E"/>
    <w:rsid w:val="002470C5"/>
    <w:rsid w:val="00251A55"/>
    <w:rsid w:val="00252783"/>
    <w:rsid w:val="002555D4"/>
    <w:rsid w:val="002570AD"/>
    <w:rsid w:val="002572D7"/>
    <w:rsid w:val="00260965"/>
    <w:rsid w:val="002610E2"/>
    <w:rsid w:val="00261CD2"/>
    <w:rsid w:val="00262B4A"/>
    <w:rsid w:val="00262C50"/>
    <w:rsid w:val="00263DCB"/>
    <w:rsid w:val="00263E8E"/>
    <w:rsid w:val="0026443A"/>
    <w:rsid w:val="00264DD0"/>
    <w:rsid w:val="00264E7D"/>
    <w:rsid w:val="00266CCC"/>
    <w:rsid w:val="00273C70"/>
    <w:rsid w:val="002763FA"/>
    <w:rsid w:val="00276E92"/>
    <w:rsid w:val="00280422"/>
    <w:rsid w:val="00281AD7"/>
    <w:rsid w:val="00282348"/>
    <w:rsid w:val="002825BC"/>
    <w:rsid w:val="002839F5"/>
    <w:rsid w:val="00285FFC"/>
    <w:rsid w:val="002860A1"/>
    <w:rsid w:val="00291300"/>
    <w:rsid w:val="002929D5"/>
    <w:rsid w:val="002934CA"/>
    <w:rsid w:val="00295D8C"/>
    <w:rsid w:val="00297666"/>
    <w:rsid w:val="002A1016"/>
    <w:rsid w:val="002A53CB"/>
    <w:rsid w:val="002A6351"/>
    <w:rsid w:val="002B0484"/>
    <w:rsid w:val="002B0953"/>
    <w:rsid w:val="002B1965"/>
    <w:rsid w:val="002B2A90"/>
    <w:rsid w:val="002B4420"/>
    <w:rsid w:val="002B6EF6"/>
    <w:rsid w:val="002C661E"/>
    <w:rsid w:val="002C6AEF"/>
    <w:rsid w:val="002D0664"/>
    <w:rsid w:val="002D1151"/>
    <w:rsid w:val="002D42D4"/>
    <w:rsid w:val="002D4E16"/>
    <w:rsid w:val="002D5831"/>
    <w:rsid w:val="002D66FA"/>
    <w:rsid w:val="002D6F0C"/>
    <w:rsid w:val="002D7EF5"/>
    <w:rsid w:val="002E0D0B"/>
    <w:rsid w:val="002E4170"/>
    <w:rsid w:val="002E6CB0"/>
    <w:rsid w:val="002F042E"/>
    <w:rsid w:val="002F3405"/>
    <w:rsid w:val="002F6078"/>
    <w:rsid w:val="003005DF"/>
    <w:rsid w:val="003052B1"/>
    <w:rsid w:val="00310251"/>
    <w:rsid w:val="00310FB5"/>
    <w:rsid w:val="003112C8"/>
    <w:rsid w:val="00311375"/>
    <w:rsid w:val="003137DF"/>
    <w:rsid w:val="00314AE2"/>
    <w:rsid w:val="00314DEF"/>
    <w:rsid w:val="00316C1A"/>
    <w:rsid w:val="00317727"/>
    <w:rsid w:val="00317D7A"/>
    <w:rsid w:val="003210CD"/>
    <w:rsid w:val="003212BC"/>
    <w:rsid w:val="00323D25"/>
    <w:rsid w:val="003246DE"/>
    <w:rsid w:val="0032472C"/>
    <w:rsid w:val="003254DD"/>
    <w:rsid w:val="00325B44"/>
    <w:rsid w:val="00325DDC"/>
    <w:rsid w:val="00331C16"/>
    <w:rsid w:val="00331C4A"/>
    <w:rsid w:val="0033268B"/>
    <w:rsid w:val="00333C17"/>
    <w:rsid w:val="003403F4"/>
    <w:rsid w:val="003412F0"/>
    <w:rsid w:val="00341F37"/>
    <w:rsid w:val="003430F8"/>
    <w:rsid w:val="00343332"/>
    <w:rsid w:val="003473DF"/>
    <w:rsid w:val="0035320D"/>
    <w:rsid w:val="003544A9"/>
    <w:rsid w:val="00354F7C"/>
    <w:rsid w:val="00356C01"/>
    <w:rsid w:val="00360654"/>
    <w:rsid w:val="00360EE0"/>
    <w:rsid w:val="00362D56"/>
    <w:rsid w:val="003633D1"/>
    <w:rsid w:val="00366CB1"/>
    <w:rsid w:val="0036715F"/>
    <w:rsid w:val="00367654"/>
    <w:rsid w:val="0037138B"/>
    <w:rsid w:val="00373324"/>
    <w:rsid w:val="00373521"/>
    <w:rsid w:val="003735CC"/>
    <w:rsid w:val="00375FFD"/>
    <w:rsid w:val="00383293"/>
    <w:rsid w:val="00383649"/>
    <w:rsid w:val="00383CE8"/>
    <w:rsid w:val="00385808"/>
    <w:rsid w:val="003862E2"/>
    <w:rsid w:val="003870D9"/>
    <w:rsid w:val="00390025"/>
    <w:rsid w:val="003909FD"/>
    <w:rsid w:val="003913BC"/>
    <w:rsid w:val="0039270A"/>
    <w:rsid w:val="003959B0"/>
    <w:rsid w:val="00395B34"/>
    <w:rsid w:val="003A16EB"/>
    <w:rsid w:val="003A183E"/>
    <w:rsid w:val="003A2C98"/>
    <w:rsid w:val="003A310D"/>
    <w:rsid w:val="003A44E7"/>
    <w:rsid w:val="003A468E"/>
    <w:rsid w:val="003A5245"/>
    <w:rsid w:val="003B349D"/>
    <w:rsid w:val="003B47CF"/>
    <w:rsid w:val="003B48EF"/>
    <w:rsid w:val="003B5412"/>
    <w:rsid w:val="003B5E4D"/>
    <w:rsid w:val="003B764A"/>
    <w:rsid w:val="003C0091"/>
    <w:rsid w:val="003C1D76"/>
    <w:rsid w:val="003C223B"/>
    <w:rsid w:val="003C2F4B"/>
    <w:rsid w:val="003C469A"/>
    <w:rsid w:val="003C57D2"/>
    <w:rsid w:val="003C595D"/>
    <w:rsid w:val="003C5BDA"/>
    <w:rsid w:val="003D2390"/>
    <w:rsid w:val="003D5103"/>
    <w:rsid w:val="003D5993"/>
    <w:rsid w:val="003D640E"/>
    <w:rsid w:val="003D79E8"/>
    <w:rsid w:val="003D7DBD"/>
    <w:rsid w:val="003E0B9E"/>
    <w:rsid w:val="003E15FA"/>
    <w:rsid w:val="003E4D9A"/>
    <w:rsid w:val="003E5C8B"/>
    <w:rsid w:val="003E5D97"/>
    <w:rsid w:val="003F0971"/>
    <w:rsid w:val="003F4045"/>
    <w:rsid w:val="003F4407"/>
    <w:rsid w:val="003F4A16"/>
    <w:rsid w:val="003F6E58"/>
    <w:rsid w:val="003F789A"/>
    <w:rsid w:val="00400682"/>
    <w:rsid w:val="004075AB"/>
    <w:rsid w:val="0041059E"/>
    <w:rsid w:val="00410843"/>
    <w:rsid w:val="00410C50"/>
    <w:rsid w:val="004115C7"/>
    <w:rsid w:val="0041230B"/>
    <w:rsid w:val="00416BE7"/>
    <w:rsid w:val="00416DC0"/>
    <w:rsid w:val="00421903"/>
    <w:rsid w:val="00423607"/>
    <w:rsid w:val="00424840"/>
    <w:rsid w:val="00424A87"/>
    <w:rsid w:val="00424D88"/>
    <w:rsid w:val="004274E6"/>
    <w:rsid w:val="00432D92"/>
    <w:rsid w:val="00433D50"/>
    <w:rsid w:val="00433E66"/>
    <w:rsid w:val="00434E62"/>
    <w:rsid w:val="00434FD2"/>
    <w:rsid w:val="00436B93"/>
    <w:rsid w:val="00437B36"/>
    <w:rsid w:val="00440128"/>
    <w:rsid w:val="004415FD"/>
    <w:rsid w:val="00442291"/>
    <w:rsid w:val="00442C4D"/>
    <w:rsid w:val="00443CE6"/>
    <w:rsid w:val="00445A81"/>
    <w:rsid w:val="00445DEA"/>
    <w:rsid w:val="00450249"/>
    <w:rsid w:val="004534B9"/>
    <w:rsid w:val="00454BE9"/>
    <w:rsid w:val="004558B7"/>
    <w:rsid w:val="00456AD7"/>
    <w:rsid w:val="00464951"/>
    <w:rsid w:val="004710D1"/>
    <w:rsid w:val="004722C6"/>
    <w:rsid w:val="00473AE0"/>
    <w:rsid w:val="00476240"/>
    <w:rsid w:val="0048106B"/>
    <w:rsid w:val="00481E58"/>
    <w:rsid w:val="00483A91"/>
    <w:rsid w:val="004846D6"/>
    <w:rsid w:val="00486432"/>
    <w:rsid w:val="00486522"/>
    <w:rsid w:val="00490031"/>
    <w:rsid w:val="00492FBA"/>
    <w:rsid w:val="0049312E"/>
    <w:rsid w:val="00493968"/>
    <w:rsid w:val="00493A64"/>
    <w:rsid w:val="00495F41"/>
    <w:rsid w:val="00497CDF"/>
    <w:rsid w:val="00497DAB"/>
    <w:rsid w:val="004A0597"/>
    <w:rsid w:val="004A0CF5"/>
    <w:rsid w:val="004A1CCA"/>
    <w:rsid w:val="004A219E"/>
    <w:rsid w:val="004A2840"/>
    <w:rsid w:val="004A49E8"/>
    <w:rsid w:val="004A632C"/>
    <w:rsid w:val="004A69F9"/>
    <w:rsid w:val="004A7425"/>
    <w:rsid w:val="004A74C8"/>
    <w:rsid w:val="004A7E63"/>
    <w:rsid w:val="004B3086"/>
    <w:rsid w:val="004B4087"/>
    <w:rsid w:val="004C2273"/>
    <w:rsid w:val="004C2FC8"/>
    <w:rsid w:val="004C4663"/>
    <w:rsid w:val="004C5F7A"/>
    <w:rsid w:val="004C6780"/>
    <w:rsid w:val="004C7570"/>
    <w:rsid w:val="004D1433"/>
    <w:rsid w:val="004D524A"/>
    <w:rsid w:val="004D60BB"/>
    <w:rsid w:val="004D62DE"/>
    <w:rsid w:val="004D6BFF"/>
    <w:rsid w:val="004E09BB"/>
    <w:rsid w:val="004E5A98"/>
    <w:rsid w:val="004F06CD"/>
    <w:rsid w:val="004F1748"/>
    <w:rsid w:val="004F1E35"/>
    <w:rsid w:val="004F5CB4"/>
    <w:rsid w:val="004F6B43"/>
    <w:rsid w:val="00500637"/>
    <w:rsid w:val="005012B2"/>
    <w:rsid w:val="0050158D"/>
    <w:rsid w:val="005043BC"/>
    <w:rsid w:val="00507E3D"/>
    <w:rsid w:val="0052230B"/>
    <w:rsid w:val="00524618"/>
    <w:rsid w:val="00526C9A"/>
    <w:rsid w:val="0053093F"/>
    <w:rsid w:val="00531099"/>
    <w:rsid w:val="005315B0"/>
    <w:rsid w:val="00531A9E"/>
    <w:rsid w:val="0053431A"/>
    <w:rsid w:val="00543126"/>
    <w:rsid w:val="005438A1"/>
    <w:rsid w:val="00544B1B"/>
    <w:rsid w:val="00545131"/>
    <w:rsid w:val="005505D1"/>
    <w:rsid w:val="00551200"/>
    <w:rsid w:val="00552861"/>
    <w:rsid w:val="00552FFD"/>
    <w:rsid w:val="00553D24"/>
    <w:rsid w:val="00554081"/>
    <w:rsid w:val="005552AC"/>
    <w:rsid w:val="00555E9E"/>
    <w:rsid w:val="00560066"/>
    <w:rsid w:val="005601EC"/>
    <w:rsid w:val="00560907"/>
    <w:rsid w:val="00560F68"/>
    <w:rsid w:val="00562BA9"/>
    <w:rsid w:val="00563571"/>
    <w:rsid w:val="00563985"/>
    <w:rsid w:val="00567A22"/>
    <w:rsid w:val="00567C15"/>
    <w:rsid w:val="00572270"/>
    <w:rsid w:val="0057249F"/>
    <w:rsid w:val="00574979"/>
    <w:rsid w:val="00577773"/>
    <w:rsid w:val="00577D14"/>
    <w:rsid w:val="00580D4C"/>
    <w:rsid w:val="00581E0D"/>
    <w:rsid w:val="00583DE2"/>
    <w:rsid w:val="005909A9"/>
    <w:rsid w:val="005918DF"/>
    <w:rsid w:val="0059260B"/>
    <w:rsid w:val="005935B5"/>
    <w:rsid w:val="005940C4"/>
    <w:rsid w:val="00595686"/>
    <w:rsid w:val="005A1204"/>
    <w:rsid w:val="005A37C8"/>
    <w:rsid w:val="005A47D3"/>
    <w:rsid w:val="005A6270"/>
    <w:rsid w:val="005B080A"/>
    <w:rsid w:val="005B5F53"/>
    <w:rsid w:val="005B7D28"/>
    <w:rsid w:val="005B7D94"/>
    <w:rsid w:val="005C05C0"/>
    <w:rsid w:val="005C41F6"/>
    <w:rsid w:val="005C4B05"/>
    <w:rsid w:val="005C6242"/>
    <w:rsid w:val="005C6B89"/>
    <w:rsid w:val="005D02AB"/>
    <w:rsid w:val="005D3DE4"/>
    <w:rsid w:val="005D5C77"/>
    <w:rsid w:val="005D661C"/>
    <w:rsid w:val="005D7BC9"/>
    <w:rsid w:val="005E06B7"/>
    <w:rsid w:val="005E0F86"/>
    <w:rsid w:val="005E1A71"/>
    <w:rsid w:val="005E2429"/>
    <w:rsid w:val="005E3E34"/>
    <w:rsid w:val="005E4D1E"/>
    <w:rsid w:val="005E5FE9"/>
    <w:rsid w:val="005E6438"/>
    <w:rsid w:val="005E66F4"/>
    <w:rsid w:val="005E687F"/>
    <w:rsid w:val="005E6F82"/>
    <w:rsid w:val="005F1FD0"/>
    <w:rsid w:val="005F238B"/>
    <w:rsid w:val="005F2DC2"/>
    <w:rsid w:val="005F5681"/>
    <w:rsid w:val="0060286D"/>
    <w:rsid w:val="006034C5"/>
    <w:rsid w:val="00603CBD"/>
    <w:rsid w:val="00605CA7"/>
    <w:rsid w:val="00605F81"/>
    <w:rsid w:val="00607DC9"/>
    <w:rsid w:val="00611260"/>
    <w:rsid w:val="00615C50"/>
    <w:rsid w:val="006162D2"/>
    <w:rsid w:val="006168E2"/>
    <w:rsid w:val="00622453"/>
    <w:rsid w:val="006225DA"/>
    <w:rsid w:val="00623387"/>
    <w:rsid w:val="00623E21"/>
    <w:rsid w:val="00624F64"/>
    <w:rsid w:val="0062523B"/>
    <w:rsid w:val="00626541"/>
    <w:rsid w:val="00626663"/>
    <w:rsid w:val="00626B43"/>
    <w:rsid w:val="00626C19"/>
    <w:rsid w:val="00627770"/>
    <w:rsid w:val="00627FBF"/>
    <w:rsid w:val="00630283"/>
    <w:rsid w:val="006317FE"/>
    <w:rsid w:val="006349A2"/>
    <w:rsid w:val="00635189"/>
    <w:rsid w:val="00635AB6"/>
    <w:rsid w:val="006417F1"/>
    <w:rsid w:val="00642A12"/>
    <w:rsid w:val="00643604"/>
    <w:rsid w:val="00643826"/>
    <w:rsid w:val="00643D01"/>
    <w:rsid w:val="00645563"/>
    <w:rsid w:val="00654877"/>
    <w:rsid w:val="00654E2F"/>
    <w:rsid w:val="00656AC2"/>
    <w:rsid w:val="00656E5D"/>
    <w:rsid w:val="00661ED6"/>
    <w:rsid w:val="0066313B"/>
    <w:rsid w:val="0066370D"/>
    <w:rsid w:val="00663C1C"/>
    <w:rsid w:val="00665457"/>
    <w:rsid w:val="00665BFF"/>
    <w:rsid w:val="006660EA"/>
    <w:rsid w:val="00666513"/>
    <w:rsid w:val="00667EE1"/>
    <w:rsid w:val="00671AA7"/>
    <w:rsid w:val="00673573"/>
    <w:rsid w:val="00674C59"/>
    <w:rsid w:val="00675EA4"/>
    <w:rsid w:val="00676EC1"/>
    <w:rsid w:val="00681159"/>
    <w:rsid w:val="0068156C"/>
    <w:rsid w:val="00681A82"/>
    <w:rsid w:val="00681D8D"/>
    <w:rsid w:val="00683A16"/>
    <w:rsid w:val="00684984"/>
    <w:rsid w:val="0068795E"/>
    <w:rsid w:val="00687EE2"/>
    <w:rsid w:val="00690C8F"/>
    <w:rsid w:val="0069157D"/>
    <w:rsid w:val="00694A20"/>
    <w:rsid w:val="006A010F"/>
    <w:rsid w:val="006A1CB1"/>
    <w:rsid w:val="006A1D72"/>
    <w:rsid w:val="006A4633"/>
    <w:rsid w:val="006A4672"/>
    <w:rsid w:val="006B1123"/>
    <w:rsid w:val="006B1267"/>
    <w:rsid w:val="006B1553"/>
    <w:rsid w:val="006B35FC"/>
    <w:rsid w:val="006B723F"/>
    <w:rsid w:val="006B729A"/>
    <w:rsid w:val="006B7FEC"/>
    <w:rsid w:val="006C03C0"/>
    <w:rsid w:val="006C1816"/>
    <w:rsid w:val="006C36B7"/>
    <w:rsid w:val="006C5348"/>
    <w:rsid w:val="006C6096"/>
    <w:rsid w:val="006C64FD"/>
    <w:rsid w:val="006C68EF"/>
    <w:rsid w:val="006D0E6A"/>
    <w:rsid w:val="006D1FF3"/>
    <w:rsid w:val="006D3044"/>
    <w:rsid w:val="006D341E"/>
    <w:rsid w:val="006D3D64"/>
    <w:rsid w:val="006D4F3A"/>
    <w:rsid w:val="006D6319"/>
    <w:rsid w:val="006D74B8"/>
    <w:rsid w:val="006D7C09"/>
    <w:rsid w:val="006E0456"/>
    <w:rsid w:val="006E3278"/>
    <w:rsid w:val="006E5243"/>
    <w:rsid w:val="006E7322"/>
    <w:rsid w:val="006E73B7"/>
    <w:rsid w:val="006E7647"/>
    <w:rsid w:val="006F13EE"/>
    <w:rsid w:val="006F1691"/>
    <w:rsid w:val="006F1EE8"/>
    <w:rsid w:val="006F201F"/>
    <w:rsid w:val="006F5CEE"/>
    <w:rsid w:val="006F67BF"/>
    <w:rsid w:val="006F74A2"/>
    <w:rsid w:val="006F77F8"/>
    <w:rsid w:val="006F7A59"/>
    <w:rsid w:val="006F7E6A"/>
    <w:rsid w:val="00701C09"/>
    <w:rsid w:val="00702410"/>
    <w:rsid w:val="007026B7"/>
    <w:rsid w:val="00703198"/>
    <w:rsid w:val="007046CE"/>
    <w:rsid w:val="0070493B"/>
    <w:rsid w:val="007063EF"/>
    <w:rsid w:val="007064A1"/>
    <w:rsid w:val="007068B8"/>
    <w:rsid w:val="00713347"/>
    <w:rsid w:val="00713664"/>
    <w:rsid w:val="0071432E"/>
    <w:rsid w:val="00716B42"/>
    <w:rsid w:val="007209F6"/>
    <w:rsid w:val="00722A59"/>
    <w:rsid w:val="00723282"/>
    <w:rsid w:val="007238A9"/>
    <w:rsid w:val="007358E0"/>
    <w:rsid w:val="00741963"/>
    <w:rsid w:val="0074268A"/>
    <w:rsid w:val="007432B9"/>
    <w:rsid w:val="00743C28"/>
    <w:rsid w:val="00743CB6"/>
    <w:rsid w:val="007450C2"/>
    <w:rsid w:val="00746F12"/>
    <w:rsid w:val="00747EAB"/>
    <w:rsid w:val="00750402"/>
    <w:rsid w:val="00750FE9"/>
    <w:rsid w:val="00752A1D"/>
    <w:rsid w:val="007602A4"/>
    <w:rsid w:val="0076090F"/>
    <w:rsid w:val="007628C2"/>
    <w:rsid w:val="00762ADB"/>
    <w:rsid w:val="00763B51"/>
    <w:rsid w:val="00764F62"/>
    <w:rsid w:val="00765F1C"/>
    <w:rsid w:val="007707FB"/>
    <w:rsid w:val="0077226E"/>
    <w:rsid w:val="007729DA"/>
    <w:rsid w:val="00773E9D"/>
    <w:rsid w:val="00775022"/>
    <w:rsid w:val="007768FC"/>
    <w:rsid w:val="00777999"/>
    <w:rsid w:val="007819F9"/>
    <w:rsid w:val="0078368E"/>
    <w:rsid w:val="00785818"/>
    <w:rsid w:val="007913F2"/>
    <w:rsid w:val="00791EAE"/>
    <w:rsid w:val="00793450"/>
    <w:rsid w:val="00795089"/>
    <w:rsid w:val="00795232"/>
    <w:rsid w:val="007A24BF"/>
    <w:rsid w:val="007A6915"/>
    <w:rsid w:val="007B0130"/>
    <w:rsid w:val="007B1842"/>
    <w:rsid w:val="007B19DF"/>
    <w:rsid w:val="007B1B79"/>
    <w:rsid w:val="007B1C35"/>
    <w:rsid w:val="007B281B"/>
    <w:rsid w:val="007B3012"/>
    <w:rsid w:val="007B3262"/>
    <w:rsid w:val="007B3490"/>
    <w:rsid w:val="007B36D2"/>
    <w:rsid w:val="007B5A43"/>
    <w:rsid w:val="007B60F7"/>
    <w:rsid w:val="007B7A75"/>
    <w:rsid w:val="007C0A68"/>
    <w:rsid w:val="007C1C71"/>
    <w:rsid w:val="007C1FC0"/>
    <w:rsid w:val="007C2011"/>
    <w:rsid w:val="007C295F"/>
    <w:rsid w:val="007C37BA"/>
    <w:rsid w:val="007C5002"/>
    <w:rsid w:val="007C5A19"/>
    <w:rsid w:val="007C601F"/>
    <w:rsid w:val="007D4F94"/>
    <w:rsid w:val="007D5BF4"/>
    <w:rsid w:val="007E565E"/>
    <w:rsid w:val="007E7EB8"/>
    <w:rsid w:val="007F0A96"/>
    <w:rsid w:val="007F1848"/>
    <w:rsid w:val="007F24DA"/>
    <w:rsid w:val="007F2A1E"/>
    <w:rsid w:val="00801CDA"/>
    <w:rsid w:val="008044F2"/>
    <w:rsid w:val="00807EFE"/>
    <w:rsid w:val="00810842"/>
    <w:rsid w:val="00815138"/>
    <w:rsid w:val="00816B4A"/>
    <w:rsid w:val="00817CEA"/>
    <w:rsid w:val="00823F96"/>
    <w:rsid w:val="00827AAD"/>
    <w:rsid w:val="0083118A"/>
    <w:rsid w:val="008313B7"/>
    <w:rsid w:val="008330E2"/>
    <w:rsid w:val="008346E5"/>
    <w:rsid w:val="008352AB"/>
    <w:rsid w:val="0083641D"/>
    <w:rsid w:val="00840A21"/>
    <w:rsid w:val="00841676"/>
    <w:rsid w:val="008474EF"/>
    <w:rsid w:val="00851402"/>
    <w:rsid w:val="00851610"/>
    <w:rsid w:val="00854A7C"/>
    <w:rsid w:val="00856B31"/>
    <w:rsid w:val="00861BEE"/>
    <w:rsid w:val="00861C2F"/>
    <w:rsid w:val="00861C69"/>
    <w:rsid w:val="00864028"/>
    <w:rsid w:val="0086429A"/>
    <w:rsid w:val="00864A07"/>
    <w:rsid w:val="008657D6"/>
    <w:rsid w:val="00871A71"/>
    <w:rsid w:val="00873C35"/>
    <w:rsid w:val="00873E2C"/>
    <w:rsid w:val="008742B3"/>
    <w:rsid w:val="008745E0"/>
    <w:rsid w:val="008756C1"/>
    <w:rsid w:val="00876F01"/>
    <w:rsid w:val="00877A70"/>
    <w:rsid w:val="00877DD4"/>
    <w:rsid w:val="00881512"/>
    <w:rsid w:val="00883FFB"/>
    <w:rsid w:val="008840B8"/>
    <w:rsid w:val="008840D1"/>
    <w:rsid w:val="008848D5"/>
    <w:rsid w:val="00884DB9"/>
    <w:rsid w:val="008850A5"/>
    <w:rsid w:val="00891317"/>
    <w:rsid w:val="00892C5A"/>
    <w:rsid w:val="008942E1"/>
    <w:rsid w:val="00895279"/>
    <w:rsid w:val="008957D6"/>
    <w:rsid w:val="00896FB2"/>
    <w:rsid w:val="008A3BC5"/>
    <w:rsid w:val="008A41DD"/>
    <w:rsid w:val="008A607E"/>
    <w:rsid w:val="008A685A"/>
    <w:rsid w:val="008B1239"/>
    <w:rsid w:val="008B2A13"/>
    <w:rsid w:val="008B2EA3"/>
    <w:rsid w:val="008B2F55"/>
    <w:rsid w:val="008B3B17"/>
    <w:rsid w:val="008B475E"/>
    <w:rsid w:val="008B5CDE"/>
    <w:rsid w:val="008B62ED"/>
    <w:rsid w:val="008C02B9"/>
    <w:rsid w:val="008C06AE"/>
    <w:rsid w:val="008C0851"/>
    <w:rsid w:val="008C143E"/>
    <w:rsid w:val="008C424A"/>
    <w:rsid w:val="008C5259"/>
    <w:rsid w:val="008C5F4E"/>
    <w:rsid w:val="008D008F"/>
    <w:rsid w:val="008D0BAF"/>
    <w:rsid w:val="008D1853"/>
    <w:rsid w:val="008D439F"/>
    <w:rsid w:val="008D728D"/>
    <w:rsid w:val="008E42DC"/>
    <w:rsid w:val="008E4B38"/>
    <w:rsid w:val="008E54C2"/>
    <w:rsid w:val="008E6755"/>
    <w:rsid w:val="008F05B0"/>
    <w:rsid w:val="008F1194"/>
    <w:rsid w:val="008F384A"/>
    <w:rsid w:val="008F3880"/>
    <w:rsid w:val="008F39AA"/>
    <w:rsid w:val="008F44C9"/>
    <w:rsid w:val="008F65CC"/>
    <w:rsid w:val="008F6B62"/>
    <w:rsid w:val="0090100A"/>
    <w:rsid w:val="009011F1"/>
    <w:rsid w:val="009026ED"/>
    <w:rsid w:val="00902A9D"/>
    <w:rsid w:val="0090442B"/>
    <w:rsid w:val="00906D3E"/>
    <w:rsid w:val="00906FB4"/>
    <w:rsid w:val="009076C3"/>
    <w:rsid w:val="00910549"/>
    <w:rsid w:val="00911D0F"/>
    <w:rsid w:val="009129EC"/>
    <w:rsid w:val="00915B1A"/>
    <w:rsid w:val="0091607B"/>
    <w:rsid w:val="0091675C"/>
    <w:rsid w:val="009171B5"/>
    <w:rsid w:val="0091726C"/>
    <w:rsid w:val="00922EFD"/>
    <w:rsid w:val="0092364A"/>
    <w:rsid w:val="00924C20"/>
    <w:rsid w:val="0093103E"/>
    <w:rsid w:val="00931BAB"/>
    <w:rsid w:val="00932220"/>
    <w:rsid w:val="009375C7"/>
    <w:rsid w:val="00940309"/>
    <w:rsid w:val="0094151B"/>
    <w:rsid w:val="0094188A"/>
    <w:rsid w:val="00944279"/>
    <w:rsid w:val="00944916"/>
    <w:rsid w:val="009459F8"/>
    <w:rsid w:val="00946667"/>
    <w:rsid w:val="0094670B"/>
    <w:rsid w:val="009469A5"/>
    <w:rsid w:val="00947FEF"/>
    <w:rsid w:val="00950A87"/>
    <w:rsid w:val="009513D1"/>
    <w:rsid w:val="00951562"/>
    <w:rsid w:val="00951DFE"/>
    <w:rsid w:val="00953ADF"/>
    <w:rsid w:val="00953EF8"/>
    <w:rsid w:val="00954736"/>
    <w:rsid w:val="0095502F"/>
    <w:rsid w:val="00960999"/>
    <w:rsid w:val="009614AA"/>
    <w:rsid w:val="00962DCE"/>
    <w:rsid w:val="00963DEA"/>
    <w:rsid w:val="009644D8"/>
    <w:rsid w:val="0096484E"/>
    <w:rsid w:val="0096763A"/>
    <w:rsid w:val="00970D93"/>
    <w:rsid w:val="009711CE"/>
    <w:rsid w:val="00971815"/>
    <w:rsid w:val="009735BE"/>
    <w:rsid w:val="0097435A"/>
    <w:rsid w:val="0097558D"/>
    <w:rsid w:val="0098007D"/>
    <w:rsid w:val="00981235"/>
    <w:rsid w:val="009812B4"/>
    <w:rsid w:val="0098167D"/>
    <w:rsid w:val="00981ED7"/>
    <w:rsid w:val="00982E39"/>
    <w:rsid w:val="00985750"/>
    <w:rsid w:val="0098680E"/>
    <w:rsid w:val="009878E1"/>
    <w:rsid w:val="009916CD"/>
    <w:rsid w:val="0099172E"/>
    <w:rsid w:val="00992624"/>
    <w:rsid w:val="00993679"/>
    <w:rsid w:val="0099378A"/>
    <w:rsid w:val="0099443F"/>
    <w:rsid w:val="0099526A"/>
    <w:rsid w:val="00995465"/>
    <w:rsid w:val="009A0B47"/>
    <w:rsid w:val="009A44F7"/>
    <w:rsid w:val="009B09B3"/>
    <w:rsid w:val="009B1444"/>
    <w:rsid w:val="009B1978"/>
    <w:rsid w:val="009B1C80"/>
    <w:rsid w:val="009B201B"/>
    <w:rsid w:val="009B3A65"/>
    <w:rsid w:val="009B65CB"/>
    <w:rsid w:val="009B68FD"/>
    <w:rsid w:val="009B6C68"/>
    <w:rsid w:val="009C057B"/>
    <w:rsid w:val="009C0DB4"/>
    <w:rsid w:val="009C1F04"/>
    <w:rsid w:val="009C303E"/>
    <w:rsid w:val="009C50F3"/>
    <w:rsid w:val="009C5A54"/>
    <w:rsid w:val="009C758F"/>
    <w:rsid w:val="009C7605"/>
    <w:rsid w:val="009D0256"/>
    <w:rsid w:val="009D4681"/>
    <w:rsid w:val="009D4EC5"/>
    <w:rsid w:val="009E1036"/>
    <w:rsid w:val="009E295B"/>
    <w:rsid w:val="009E5E4B"/>
    <w:rsid w:val="009E6CFC"/>
    <w:rsid w:val="009E72F8"/>
    <w:rsid w:val="009F18C4"/>
    <w:rsid w:val="009F4108"/>
    <w:rsid w:val="00A01297"/>
    <w:rsid w:val="00A01361"/>
    <w:rsid w:val="00A02294"/>
    <w:rsid w:val="00A0533B"/>
    <w:rsid w:val="00A05857"/>
    <w:rsid w:val="00A0653C"/>
    <w:rsid w:val="00A113F9"/>
    <w:rsid w:val="00A1151E"/>
    <w:rsid w:val="00A11617"/>
    <w:rsid w:val="00A135F8"/>
    <w:rsid w:val="00A14FFD"/>
    <w:rsid w:val="00A154CA"/>
    <w:rsid w:val="00A160D6"/>
    <w:rsid w:val="00A16AE1"/>
    <w:rsid w:val="00A200A1"/>
    <w:rsid w:val="00A211E8"/>
    <w:rsid w:val="00A225BB"/>
    <w:rsid w:val="00A250E3"/>
    <w:rsid w:val="00A26A19"/>
    <w:rsid w:val="00A30E95"/>
    <w:rsid w:val="00A3245B"/>
    <w:rsid w:val="00A34068"/>
    <w:rsid w:val="00A36D4A"/>
    <w:rsid w:val="00A37E39"/>
    <w:rsid w:val="00A415EB"/>
    <w:rsid w:val="00A45024"/>
    <w:rsid w:val="00A4559A"/>
    <w:rsid w:val="00A459A9"/>
    <w:rsid w:val="00A466A3"/>
    <w:rsid w:val="00A50071"/>
    <w:rsid w:val="00A54F78"/>
    <w:rsid w:val="00A55376"/>
    <w:rsid w:val="00A562C7"/>
    <w:rsid w:val="00A6080A"/>
    <w:rsid w:val="00A6436A"/>
    <w:rsid w:val="00A65ADD"/>
    <w:rsid w:val="00A70EC3"/>
    <w:rsid w:val="00A718E4"/>
    <w:rsid w:val="00A72E27"/>
    <w:rsid w:val="00A73DF1"/>
    <w:rsid w:val="00A75558"/>
    <w:rsid w:val="00A76CDF"/>
    <w:rsid w:val="00A81CAC"/>
    <w:rsid w:val="00A90921"/>
    <w:rsid w:val="00A91516"/>
    <w:rsid w:val="00A944B2"/>
    <w:rsid w:val="00A944F3"/>
    <w:rsid w:val="00A954B7"/>
    <w:rsid w:val="00A95A4A"/>
    <w:rsid w:val="00A9607B"/>
    <w:rsid w:val="00A97D7E"/>
    <w:rsid w:val="00AA2C91"/>
    <w:rsid w:val="00AA48C7"/>
    <w:rsid w:val="00AA75A6"/>
    <w:rsid w:val="00AB1EEB"/>
    <w:rsid w:val="00AB60F9"/>
    <w:rsid w:val="00AC12F9"/>
    <w:rsid w:val="00AC2C0D"/>
    <w:rsid w:val="00AC4B5C"/>
    <w:rsid w:val="00AC52A6"/>
    <w:rsid w:val="00AC52E3"/>
    <w:rsid w:val="00AC54DA"/>
    <w:rsid w:val="00AC5549"/>
    <w:rsid w:val="00AC640F"/>
    <w:rsid w:val="00AC7877"/>
    <w:rsid w:val="00AD2CD6"/>
    <w:rsid w:val="00AD7197"/>
    <w:rsid w:val="00AD72BC"/>
    <w:rsid w:val="00AE03F9"/>
    <w:rsid w:val="00AE0AD1"/>
    <w:rsid w:val="00AE11ED"/>
    <w:rsid w:val="00AE1C64"/>
    <w:rsid w:val="00AE1E53"/>
    <w:rsid w:val="00AE23BF"/>
    <w:rsid w:val="00AE27FE"/>
    <w:rsid w:val="00AF0E41"/>
    <w:rsid w:val="00AF10C2"/>
    <w:rsid w:val="00AF1262"/>
    <w:rsid w:val="00AF2D5A"/>
    <w:rsid w:val="00AF3B9F"/>
    <w:rsid w:val="00AF43DA"/>
    <w:rsid w:val="00AF58C0"/>
    <w:rsid w:val="00AF5ADD"/>
    <w:rsid w:val="00AF6395"/>
    <w:rsid w:val="00AF652F"/>
    <w:rsid w:val="00B00002"/>
    <w:rsid w:val="00B026C3"/>
    <w:rsid w:val="00B02CCD"/>
    <w:rsid w:val="00B046AB"/>
    <w:rsid w:val="00B110D0"/>
    <w:rsid w:val="00B13BC4"/>
    <w:rsid w:val="00B1534C"/>
    <w:rsid w:val="00B1662D"/>
    <w:rsid w:val="00B209B5"/>
    <w:rsid w:val="00B21A41"/>
    <w:rsid w:val="00B27176"/>
    <w:rsid w:val="00B30E5C"/>
    <w:rsid w:val="00B330DA"/>
    <w:rsid w:val="00B34405"/>
    <w:rsid w:val="00B34D2C"/>
    <w:rsid w:val="00B40BF9"/>
    <w:rsid w:val="00B41349"/>
    <w:rsid w:val="00B421DF"/>
    <w:rsid w:val="00B429B9"/>
    <w:rsid w:val="00B47814"/>
    <w:rsid w:val="00B52090"/>
    <w:rsid w:val="00B55230"/>
    <w:rsid w:val="00B55A5F"/>
    <w:rsid w:val="00B56A01"/>
    <w:rsid w:val="00B601C5"/>
    <w:rsid w:val="00B6328A"/>
    <w:rsid w:val="00B64931"/>
    <w:rsid w:val="00B71C8C"/>
    <w:rsid w:val="00B73CF4"/>
    <w:rsid w:val="00B742DE"/>
    <w:rsid w:val="00B745B0"/>
    <w:rsid w:val="00B75ACC"/>
    <w:rsid w:val="00B80584"/>
    <w:rsid w:val="00B82123"/>
    <w:rsid w:val="00B83132"/>
    <w:rsid w:val="00B8657C"/>
    <w:rsid w:val="00B8695D"/>
    <w:rsid w:val="00B870FE"/>
    <w:rsid w:val="00B872B2"/>
    <w:rsid w:val="00B879A5"/>
    <w:rsid w:val="00B93B76"/>
    <w:rsid w:val="00B940FD"/>
    <w:rsid w:val="00B95054"/>
    <w:rsid w:val="00BA0D8A"/>
    <w:rsid w:val="00BA1D46"/>
    <w:rsid w:val="00BA5A75"/>
    <w:rsid w:val="00BA5F06"/>
    <w:rsid w:val="00BA6290"/>
    <w:rsid w:val="00BA634E"/>
    <w:rsid w:val="00BA67B0"/>
    <w:rsid w:val="00BA77B4"/>
    <w:rsid w:val="00BB7054"/>
    <w:rsid w:val="00BC133C"/>
    <w:rsid w:val="00BC5A02"/>
    <w:rsid w:val="00BC6E7E"/>
    <w:rsid w:val="00BC7251"/>
    <w:rsid w:val="00BC74BF"/>
    <w:rsid w:val="00BD1C61"/>
    <w:rsid w:val="00BD2C87"/>
    <w:rsid w:val="00BD40C5"/>
    <w:rsid w:val="00BD4A48"/>
    <w:rsid w:val="00BD55C4"/>
    <w:rsid w:val="00BD5F94"/>
    <w:rsid w:val="00BE00F4"/>
    <w:rsid w:val="00BE20A7"/>
    <w:rsid w:val="00BE3DF1"/>
    <w:rsid w:val="00BE5127"/>
    <w:rsid w:val="00BE6242"/>
    <w:rsid w:val="00BE62E3"/>
    <w:rsid w:val="00BE634D"/>
    <w:rsid w:val="00BE6C85"/>
    <w:rsid w:val="00BE74F3"/>
    <w:rsid w:val="00BF14F3"/>
    <w:rsid w:val="00BF209A"/>
    <w:rsid w:val="00BF4247"/>
    <w:rsid w:val="00BF53F1"/>
    <w:rsid w:val="00BF5B64"/>
    <w:rsid w:val="00BF6B26"/>
    <w:rsid w:val="00BF7363"/>
    <w:rsid w:val="00C03B01"/>
    <w:rsid w:val="00C04174"/>
    <w:rsid w:val="00C043C0"/>
    <w:rsid w:val="00C053C5"/>
    <w:rsid w:val="00C05FAD"/>
    <w:rsid w:val="00C06055"/>
    <w:rsid w:val="00C06320"/>
    <w:rsid w:val="00C07D99"/>
    <w:rsid w:val="00C112A6"/>
    <w:rsid w:val="00C116B9"/>
    <w:rsid w:val="00C11AF5"/>
    <w:rsid w:val="00C11DE4"/>
    <w:rsid w:val="00C13BCB"/>
    <w:rsid w:val="00C16A01"/>
    <w:rsid w:val="00C16DF4"/>
    <w:rsid w:val="00C20C8C"/>
    <w:rsid w:val="00C21FD7"/>
    <w:rsid w:val="00C2240B"/>
    <w:rsid w:val="00C22CF7"/>
    <w:rsid w:val="00C22E93"/>
    <w:rsid w:val="00C2322E"/>
    <w:rsid w:val="00C33398"/>
    <w:rsid w:val="00C338D8"/>
    <w:rsid w:val="00C339B0"/>
    <w:rsid w:val="00C343F5"/>
    <w:rsid w:val="00C36DF9"/>
    <w:rsid w:val="00C413AA"/>
    <w:rsid w:val="00C4262A"/>
    <w:rsid w:val="00C4300E"/>
    <w:rsid w:val="00C47329"/>
    <w:rsid w:val="00C512EF"/>
    <w:rsid w:val="00C52633"/>
    <w:rsid w:val="00C52FCE"/>
    <w:rsid w:val="00C57007"/>
    <w:rsid w:val="00C57825"/>
    <w:rsid w:val="00C5792E"/>
    <w:rsid w:val="00C60403"/>
    <w:rsid w:val="00C613E6"/>
    <w:rsid w:val="00C619A0"/>
    <w:rsid w:val="00C62432"/>
    <w:rsid w:val="00C643EB"/>
    <w:rsid w:val="00C679A4"/>
    <w:rsid w:val="00C7248A"/>
    <w:rsid w:val="00C72756"/>
    <w:rsid w:val="00C74AD3"/>
    <w:rsid w:val="00C74BAA"/>
    <w:rsid w:val="00C7589D"/>
    <w:rsid w:val="00C76298"/>
    <w:rsid w:val="00C76966"/>
    <w:rsid w:val="00C81495"/>
    <w:rsid w:val="00C817E7"/>
    <w:rsid w:val="00C84769"/>
    <w:rsid w:val="00C86C8F"/>
    <w:rsid w:val="00C87B13"/>
    <w:rsid w:val="00C91F93"/>
    <w:rsid w:val="00C929FD"/>
    <w:rsid w:val="00C92FAE"/>
    <w:rsid w:val="00C9300C"/>
    <w:rsid w:val="00C93277"/>
    <w:rsid w:val="00C94DD4"/>
    <w:rsid w:val="00C962FB"/>
    <w:rsid w:val="00C965E9"/>
    <w:rsid w:val="00CA0E4E"/>
    <w:rsid w:val="00CA1A89"/>
    <w:rsid w:val="00CA1E82"/>
    <w:rsid w:val="00CA3752"/>
    <w:rsid w:val="00CA693F"/>
    <w:rsid w:val="00CB54AE"/>
    <w:rsid w:val="00CB56F7"/>
    <w:rsid w:val="00CB7EC7"/>
    <w:rsid w:val="00CC06F3"/>
    <w:rsid w:val="00CC0C7C"/>
    <w:rsid w:val="00CC1080"/>
    <w:rsid w:val="00CC14F8"/>
    <w:rsid w:val="00CC32E8"/>
    <w:rsid w:val="00CC3397"/>
    <w:rsid w:val="00CC5BED"/>
    <w:rsid w:val="00CC7935"/>
    <w:rsid w:val="00CC7B6A"/>
    <w:rsid w:val="00CC7D92"/>
    <w:rsid w:val="00CD1114"/>
    <w:rsid w:val="00CD1705"/>
    <w:rsid w:val="00CD1999"/>
    <w:rsid w:val="00CD36E3"/>
    <w:rsid w:val="00CD484E"/>
    <w:rsid w:val="00CD5E2A"/>
    <w:rsid w:val="00CD6DD1"/>
    <w:rsid w:val="00CE05E1"/>
    <w:rsid w:val="00CE0D54"/>
    <w:rsid w:val="00CE1219"/>
    <w:rsid w:val="00CE1C37"/>
    <w:rsid w:val="00CE381E"/>
    <w:rsid w:val="00CE3B8B"/>
    <w:rsid w:val="00CE3F60"/>
    <w:rsid w:val="00CE5FE1"/>
    <w:rsid w:val="00CE6BAB"/>
    <w:rsid w:val="00CE7DC9"/>
    <w:rsid w:val="00CF0A7B"/>
    <w:rsid w:val="00CF2CBB"/>
    <w:rsid w:val="00CF37E6"/>
    <w:rsid w:val="00CF3921"/>
    <w:rsid w:val="00CF75C6"/>
    <w:rsid w:val="00CF7B14"/>
    <w:rsid w:val="00D003C9"/>
    <w:rsid w:val="00D027EA"/>
    <w:rsid w:val="00D03039"/>
    <w:rsid w:val="00D03613"/>
    <w:rsid w:val="00D03CFB"/>
    <w:rsid w:val="00D07986"/>
    <w:rsid w:val="00D106FD"/>
    <w:rsid w:val="00D126A8"/>
    <w:rsid w:val="00D12D6C"/>
    <w:rsid w:val="00D1578B"/>
    <w:rsid w:val="00D15D19"/>
    <w:rsid w:val="00D20341"/>
    <w:rsid w:val="00D2065E"/>
    <w:rsid w:val="00D21B6E"/>
    <w:rsid w:val="00D21D43"/>
    <w:rsid w:val="00D225FF"/>
    <w:rsid w:val="00D24554"/>
    <w:rsid w:val="00D249E5"/>
    <w:rsid w:val="00D25FD2"/>
    <w:rsid w:val="00D26ABB"/>
    <w:rsid w:val="00D3020D"/>
    <w:rsid w:val="00D30782"/>
    <w:rsid w:val="00D334BC"/>
    <w:rsid w:val="00D34F00"/>
    <w:rsid w:val="00D358B6"/>
    <w:rsid w:val="00D35D4C"/>
    <w:rsid w:val="00D371D5"/>
    <w:rsid w:val="00D40088"/>
    <w:rsid w:val="00D45DDD"/>
    <w:rsid w:val="00D46181"/>
    <w:rsid w:val="00D500AE"/>
    <w:rsid w:val="00D53470"/>
    <w:rsid w:val="00D55AE1"/>
    <w:rsid w:val="00D562E0"/>
    <w:rsid w:val="00D571E2"/>
    <w:rsid w:val="00D616B7"/>
    <w:rsid w:val="00D61817"/>
    <w:rsid w:val="00D62743"/>
    <w:rsid w:val="00D62798"/>
    <w:rsid w:val="00D63692"/>
    <w:rsid w:val="00D63B3C"/>
    <w:rsid w:val="00D65B98"/>
    <w:rsid w:val="00D7115C"/>
    <w:rsid w:val="00D71762"/>
    <w:rsid w:val="00D766E0"/>
    <w:rsid w:val="00D770F2"/>
    <w:rsid w:val="00D80FF8"/>
    <w:rsid w:val="00D818C0"/>
    <w:rsid w:val="00D856A4"/>
    <w:rsid w:val="00D9237E"/>
    <w:rsid w:val="00D94CC6"/>
    <w:rsid w:val="00DA117D"/>
    <w:rsid w:val="00DA2ACB"/>
    <w:rsid w:val="00DA340B"/>
    <w:rsid w:val="00DA5F2D"/>
    <w:rsid w:val="00DA74E1"/>
    <w:rsid w:val="00DB0858"/>
    <w:rsid w:val="00DB0CF0"/>
    <w:rsid w:val="00DB162C"/>
    <w:rsid w:val="00DB2702"/>
    <w:rsid w:val="00DB511B"/>
    <w:rsid w:val="00DC3DFC"/>
    <w:rsid w:val="00DC53B8"/>
    <w:rsid w:val="00DC54DD"/>
    <w:rsid w:val="00DC6A11"/>
    <w:rsid w:val="00DC7355"/>
    <w:rsid w:val="00DD334E"/>
    <w:rsid w:val="00DD38ED"/>
    <w:rsid w:val="00DD419F"/>
    <w:rsid w:val="00DD5E48"/>
    <w:rsid w:val="00DE2E79"/>
    <w:rsid w:val="00DE3319"/>
    <w:rsid w:val="00DE33FD"/>
    <w:rsid w:val="00DF09D6"/>
    <w:rsid w:val="00DF1378"/>
    <w:rsid w:val="00DF15CD"/>
    <w:rsid w:val="00DF3770"/>
    <w:rsid w:val="00DF3BDE"/>
    <w:rsid w:val="00DF5FB4"/>
    <w:rsid w:val="00DF6DF2"/>
    <w:rsid w:val="00DF7C1C"/>
    <w:rsid w:val="00E01E7F"/>
    <w:rsid w:val="00E0356B"/>
    <w:rsid w:val="00E03B80"/>
    <w:rsid w:val="00E05094"/>
    <w:rsid w:val="00E054E9"/>
    <w:rsid w:val="00E057BE"/>
    <w:rsid w:val="00E06925"/>
    <w:rsid w:val="00E06E13"/>
    <w:rsid w:val="00E07985"/>
    <w:rsid w:val="00E13C56"/>
    <w:rsid w:val="00E16F20"/>
    <w:rsid w:val="00E17BE9"/>
    <w:rsid w:val="00E17CE0"/>
    <w:rsid w:val="00E22A36"/>
    <w:rsid w:val="00E23D76"/>
    <w:rsid w:val="00E250AA"/>
    <w:rsid w:val="00E2573B"/>
    <w:rsid w:val="00E27F73"/>
    <w:rsid w:val="00E30800"/>
    <w:rsid w:val="00E30ED9"/>
    <w:rsid w:val="00E31951"/>
    <w:rsid w:val="00E32341"/>
    <w:rsid w:val="00E328FB"/>
    <w:rsid w:val="00E3425A"/>
    <w:rsid w:val="00E37A4A"/>
    <w:rsid w:val="00E40B5C"/>
    <w:rsid w:val="00E40FDE"/>
    <w:rsid w:val="00E42CF1"/>
    <w:rsid w:val="00E42FA7"/>
    <w:rsid w:val="00E442C5"/>
    <w:rsid w:val="00E44C9E"/>
    <w:rsid w:val="00E44F97"/>
    <w:rsid w:val="00E453AF"/>
    <w:rsid w:val="00E46ACC"/>
    <w:rsid w:val="00E51B9A"/>
    <w:rsid w:val="00E559EB"/>
    <w:rsid w:val="00E55C08"/>
    <w:rsid w:val="00E55C5C"/>
    <w:rsid w:val="00E56A8D"/>
    <w:rsid w:val="00E56DA7"/>
    <w:rsid w:val="00E56E3A"/>
    <w:rsid w:val="00E636C6"/>
    <w:rsid w:val="00E63907"/>
    <w:rsid w:val="00E702AD"/>
    <w:rsid w:val="00E70E6D"/>
    <w:rsid w:val="00E7167F"/>
    <w:rsid w:val="00E7318D"/>
    <w:rsid w:val="00E81012"/>
    <w:rsid w:val="00E836BE"/>
    <w:rsid w:val="00E8658C"/>
    <w:rsid w:val="00E86E3D"/>
    <w:rsid w:val="00E91604"/>
    <w:rsid w:val="00E9560A"/>
    <w:rsid w:val="00E97042"/>
    <w:rsid w:val="00EA1552"/>
    <w:rsid w:val="00EA1B50"/>
    <w:rsid w:val="00EA21E6"/>
    <w:rsid w:val="00EA4194"/>
    <w:rsid w:val="00EA46EF"/>
    <w:rsid w:val="00EB03FC"/>
    <w:rsid w:val="00EB0F92"/>
    <w:rsid w:val="00EB4133"/>
    <w:rsid w:val="00EB6779"/>
    <w:rsid w:val="00EB6C6E"/>
    <w:rsid w:val="00EC1D79"/>
    <w:rsid w:val="00EC2B2F"/>
    <w:rsid w:val="00EC4B42"/>
    <w:rsid w:val="00ED1F59"/>
    <w:rsid w:val="00ED267D"/>
    <w:rsid w:val="00ED3C2E"/>
    <w:rsid w:val="00ED585B"/>
    <w:rsid w:val="00ED62BE"/>
    <w:rsid w:val="00ED6335"/>
    <w:rsid w:val="00ED64A2"/>
    <w:rsid w:val="00ED7F88"/>
    <w:rsid w:val="00EE2A61"/>
    <w:rsid w:val="00EE2FCE"/>
    <w:rsid w:val="00EE5195"/>
    <w:rsid w:val="00EE73B8"/>
    <w:rsid w:val="00EE74C3"/>
    <w:rsid w:val="00EE7685"/>
    <w:rsid w:val="00EF0453"/>
    <w:rsid w:val="00EF2818"/>
    <w:rsid w:val="00EF35A8"/>
    <w:rsid w:val="00EF3AB8"/>
    <w:rsid w:val="00EF3B9E"/>
    <w:rsid w:val="00EF4417"/>
    <w:rsid w:val="00EF4801"/>
    <w:rsid w:val="00EF581D"/>
    <w:rsid w:val="00EF5863"/>
    <w:rsid w:val="00EF6450"/>
    <w:rsid w:val="00F02BFE"/>
    <w:rsid w:val="00F03429"/>
    <w:rsid w:val="00F07569"/>
    <w:rsid w:val="00F10FE3"/>
    <w:rsid w:val="00F17212"/>
    <w:rsid w:val="00F173AD"/>
    <w:rsid w:val="00F21080"/>
    <w:rsid w:val="00F210D4"/>
    <w:rsid w:val="00F21688"/>
    <w:rsid w:val="00F2271E"/>
    <w:rsid w:val="00F22AFA"/>
    <w:rsid w:val="00F22CA7"/>
    <w:rsid w:val="00F236A2"/>
    <w:rsid w:val="00F24D30"/>
    <w:rsid w:val="00F2626D"/>
    <w:rsid w:val="00F2760E"/>
    <w:rsid w:val="00F278BC"/>
    <w:rsid w:val="00F317C5"/>
    <w:rsid w:val="00F31AFF"/>
    <w:rsid w:val="00F33762"/>
    <w:rsid w:val="00F34333"/>
    <w:rsid w:val="00F35717"/>
    <w:rsid w:val="00F42DA5"/>
    <w:rsid w:val="00F449B2"/>
    <w:rsid w:val="00F44D3F"/>
    <w:rsid w:val="00F45D03"/>
    <w:rsid w:val="00F46E3F"/>
    <w:rsid w:val="00F46F91"/>
    <w:rsid w:val="00F4768C"/>
    <w:rsid w:val="00F500F6"/>
    <w:rsid w:val="00F50724"/>
    <w:rsid w:val="00F508BE"/>
    <w:rsid w:val="00F511EF"/>
    <w:rsid w:val="00F54EA5"/>
    <w:rsid w:val="00F5539A"/>
    <w:rsid w:val="00F55ABA"/>
    <w:rsid w:val="00F57126"/>
    <w:rsid w:val="00F6149A"/>
    <w:rsid w:val="00F63CC6"/>
    <w:rsid w:val="00F63D8D"/>
    <w:rsid w:val="00F64D18"/>
    <w:rsid w:val="00F650EA"/>
    <w:rsid w:val="00F6551C"/>
    <w:rsid w:val="00F6556F"/>
    <w:rsid w:val="00F6760D"/>
    <w:rsid w:val="00F70B14"/>
    <w:rsid w:val="00F72512"/>
    <w:rsid w:val="00F73CF7"/>
    <w:rsid w:val="00F75D0F"/>
    <w:rsid w:val="00F77F05"/>
    <w:rsid w:val="00F81803"/>
    <w:rsid w:val="00F82BFD"/>
    <w:rsid w:val="00F87BAB"/>
    <w:rsid w:val="00F91B18"/>
    <w:rsid w:val="00F925DF"/>
    <w:rsid w:val="00F94B9E"/>
    <w:rsid w:val="00F955A6"/>
    <w:rsid w:val="00F957BC"/>
    <w:rsid w:val="00F95DED"/>
    <w:rsid w:val="00F966BE"/>
    <w:rsid w:val="00FA13D2"/>
    <w:rsid w:val="00FA2F2B"/>
    <w:rsid w:val="00FA3931"/>
    <w:rsid w:val="00FA4C40"/>
    <w:rsid w:val="00FA4E12"/>
    <w:rsid w:val="00FB075E"/>
    <w:rsid w:val="00FB1046"/>
    <w:rsid w:val="00FB1502"/>
    <w:rsid w:val="00FB35D4"/>
    <w:rsid w:val="00FB4748"/>
    <w:rsid w:val="00FB4995"/>
    <w:rsid w:val="00FB582E"/>
    <w:rsid w:val="00FB646D"/>
    <w:rsid w:val="00FC1698"/>
    <w:rsid w:val="00FC1B0C"/>
    <w:rsid w:val="00FC2883"/>
    <w:rsid w:val="00FC44CF"/>
    <w:rsid w:val="00FC5560"/>
    <w:rsid w:val="00FD00E5"/>
    <w:rsid w:val="00FD0A27"/>
    <w:rsid w:val="00FD2011"/>
    <w:rsid w:val="00FD267B"/>
    <w:rsid w:val="00FD4A8F"/>
    <w:rsid w:val="00FD4CC2"/>
    <w:rsid w:val="00FD5D37"/>
    <w:rsid w:val="00FE0052"/>
    <w:rsid w:val="00FE294A"/>
    <w:rsid w:val="00FE2C06"/>
    <w:rsid w:val="00FE2CB4"/>
    <w:rsid w:val="00FE377D"/>
    <w:rsid w:val="00FE453A"/>
    <w:rsid w:val="00FE692B"/>
    <w:rsid w:val="00FF0027"/>
    <w:rsid w:val="00FF0804"/>
    <w:rsid w:val="00FF0E5E"/>
    <w:rsid w:val="00FF255C"/>
    <w:rsid w:val="00FF25A6"/>
    <w:rsid w:val="00FF3016"/>
    <w:rsid w:val="00FF4855"/>
    <w:rsid w:val="00FF6F68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C938"/>
  <w15:chartTrackingRefBased/>
  <w15:docId w15:val="{549C797A-0AE8-47A4-85F2-B6FB4FE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AB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6A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6AE1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16A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A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7B0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A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7B0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FE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0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5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9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8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1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4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6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1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5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9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6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3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3505</Words>
  <Characters>22086</Characters>
  <Application>Microsoft Office Word</Application>
  <DocSecurity>4</DocSecurity>
  <Lines>184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Cantwell</dc:creator>
  <cp:keywords/>
  <dc:description/>
  <cp:lastModifiedBy>Rohde, Ulrike</cp:lastModifiedBy>
  <cp:revision>2</cp:revision>
  <dcterms:created xsi:type="dcterms:W3CDTF">2023-01-17T14:04:00Z</dcterms:created>
  <dcterms:modified xsi:type="dcterms:W3CDTF">2023-01-17T14:04:00Z</dcterms:modified>
</cp:coreProperties>
</file>